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9ECED" w14:textId="77777777" w:rsidR="00261729" w:rsidRPr="00262551" w:rsidRDefault="00261729" w:rsidP="00262551">
      <w:pPr>
        <w:jc w:val="center"/>
        <w:rPr>
          <w:rFonts w:ascii="Times New Roman" w:hAnsi="Times New Roman" w:cs="Times New Roman"/>
          <w:b/>
          <w:bCs/>
          <w:sz w:val="36"/>
          <w:szCs w:val="36"/>
        </w:rPr>
      </w:pPr>
      <w:r w:rsidRPr="00262551">
        <w:rPr>
          <w:rFonts w:ascii="Times New Roman" w:hAnsi="Times New Roman" w:cs="Times New Roman"/>
          <w:b/>
          <w:bCs/>
          <w:sz w:val="36"/>
          <w:szCs w:val="36"/>
        </w:rPr>
        <w:t>Evaluating Consumer Cognitive Load, Brand Trust, and Construct Validity Across Third-Party vs. Self-Certified Labels</w:t>
      </w:r>
    </w:p>
    <w:p w14:paraId="529DD7E1" w14:textId="77777777" w:rsidR="00262551" w:rsidRDefault="00262551" w:rsidP="00261729">
      <w:pPr>
        <w:rPr>
          <w:rFonts w:ascii="Times New Roman" w:hAnsi="Times New Roman" w:cs="Times New Roman"/>
          <w:b/>
          <w:bCs/>
        </w:rPr>
      </w:pPr>
    </w:p>
    <w:p w14:paraId="341F9139" w14:textId="77777777" w:rsidR="00262551" w:rsidRDefault="00262551" w:rsidP="00262551">
      <w:pPr>
        <w:jc w:val="center"/>
        <w:rPr>
          <w:rFonts w:ascii="Times New Roman" w:hAnsi="Times New Roman" w:cs="Times New Roman"/>
          <w:b/>
          <w:bCs/>
        </w:rPr>
      </w:pPr>
    </w:p>
    <w:p w14:paraId="3A12FE71" w14:textId="77777777" w:rsidR="00262551" w:rsidRDefault="00262551" w:rsidP="00262551">
      <w:pPr>
        <w:jc w:val="center"/>
        <w:rPr>
          <w:rFonts w:ascii="Times New Roman" w:hAnsi="Times New Roman" w:cs="Times New Roman"/>
          <w:b/>
          <w:bCs/>
        </w:rPr>
      </w:pPr>
    </w:p>
    <w:p w14:paraId="05B7FA83" w14:textId="77777777" w:rsidR="00262551" w:rsidRDefault="00262551" w:rsidP="00262551">
      <w:pPr>
        <w:jc w:val="center"/>
        <w:rPr>
          <w:rFonts w:ascii="Times New Roman" w:hAnsi="Times New Roman" w:cs="Times New Roman"/>
          <w:b/>
          <w:bCs/>
        </w:rPr>
      </w:pPr>
    </w:p>
    <w:p w14:paraId="7E1235AC" w14:textId="77777777" w:rsidR="00262551" w:rsidRDefault="00262551" w:rsidP="00262551">
      <w:pPr>
        <w:jc w:val="center"/>
        <w:rPr>
          <w:rFonts w:ascii="Times New Roman" w:hAnsi="Times New Roman" w:cs="Times New Roman"/>
          <w:b/>
          <w:bCs/>
        </w:rPr>
      </w:pPr>
    </w:p>
    <w:p w14:paraId="1BA20FA2" w14:textId="77777777" w:rsidR="00262551" w:rsidRDefault="00262551" w:rsidP="00262551">
      <w:pPr>
        <w:jc w:val="center"/>
        <w:rPr>
          <w:rFonts w:ascii="Times New Roman" w:hAnsi="Times New Roman" w:cs="Times New Roman"/>
          <w:b/>
          <w:bCs/>
        </w:rPr>
      </w:pPr>
      <w:r>
        <w:rPr>
          <w:rFonts w:ascii="Times New Roman" w:hAnsi="Times New Roman" w:cs="Times New Roman"/>
          <w:b/>
          <w:bCs/>
        </w:rPr>
        <w:t>Authors</w:t>
      </w:r>
    </w:p>
    <w:p w14:paraId="333E6EFA" w14:textId="77777777" w:rsidR="00262551" w:rsidRDefault="00262551" w:rsidP="00262551">
      <w:pPr>
        <w:jc w:val="center"/>
        <w:rPr>
          <w:rFonts w:ascii="Times New Roman" w:hAnsi="Times New Roman" w:cs="Times New Roman"/>
          <w:b/>
          <w:bCs/>
        </w:rPr>
      </w:pPr>
    </w:p>
    <w:p w14:paraId="7D343E57" w14:textId="77777777" w:rsidR="00262551" w:rsidRDefault="00262551" w:rsidP="00262551">
      <w:pPr>
        <w:jc w:val="center"/>
        <w:rPr>
          <w:rFonts w:ascii="Times New Roman" w:hAnsi="Times New Roman" w:cs="Times New Roman"/>
          <w:b/>
          <w:bCs/>
        </w:rPr>
      </w:pPr>
      <w:r>
        <w:rPr>
          <w:rFonts w:ascii="Times New Roman" w:hAnsi="Times New Roman" w:cs="Times New Roman"/>
          <w:b/>
          <w:bCs/>
        </w:rPr>
        <w:t xml:space="preserve">Abey Litty, Abilly Elly, Asher Noah, Daniel Joy, Goodness Leah </w:t>
      </w:r>
    </w:p>
    <w:p w14:paraId="5848816C" w14:textId="77777777" w:rsidR="00262551" w:rsidRDefault="00262551" w:rsidP="00262551">
      <w:pPr>
        <w:jc w:val="center"/>
        <w:rPr>
          <w:rFonts w:ascii="Times New Roman" w:hAnsi="Times New Roman" w:cs="Times New Roman"/>
          <w:b/>
          <w:bCs/>
        </w:rPr>
      </w:pPr>
    </w:p>
    <w:p w14:paraId="7099E2C6" w14:textId="77777777" w:rsidR="00262551" w:rsidRDefault="00262551" w:rsidP="00262551">
      <w:pPr>
        <w:jc w:val="both"/>
        <w:rPr>
          <w:rFonts w:ascii="Times New Roman" w:hAnsi="Times New Roman" w:cs="Times New Roman"/>
          <w:b/>
          <w:bCs/>
        </w:rPr>
      </w:pPr>
      <w:r>
        <w:rPr>
          <w:rFonts w:ascii="Times New Roman" w:hAnsi="Times New Roman" w:cs="Times New Roman"/>
          <w:b/>
          <w:bCs/>
        </w:rPr>
        <w:t>Date; October 13, 2026</w:t>
      </w:r>
    </w:p>
    <w:p w14:paraId="5A9DBE43" w14:textId="77777777" w:rsidR="00262551" w:rsidRDefault="00262551" w:rsidP="00262551">
      <w:pPr>
        <w:jc w:val="both"/>
        <w:rPr>
          <w:rFonts w:ascii="Times New Roman" w:hAnsi="Times New Roman" w:cs="Times New Roman"/>
          <w:b/>
          <w:bCs/>
        </w:rPr>
      </w:pPr>
    </w:p>
    <w:p w14:paraId="40230974" w14:textId="30A8B112"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Abstract</w:t>
      </w:r>
    </w:p>
    <w:p w14:paraId="1B2E7A50"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The proliferation of sustainability labels has created a critical challenge for consumers: distinguishing between independently verified third-party certifications and self-declared corporate claims. This study evaluates how label verification type influences consumer cognitive load, brand trust, and the construct validity of sustainability communication across 1,247 consumers in three product categories (apparel, food, and personal care). Using a mixed-methods design combining eye-tracking, survey instruments, and validated psychometric scales, we found that third-party certified labels significantly reduced cognitive load (43% faster processing, p &lt; .001) and enhanced brand trust (β = 0.41, p &lt; .001) compared to self-certified labels. Construct validity assessment revealed that self-certified labels produced systematically inflated trust scores that did not converge with behavioral intention measures, indicating measurement invalidity. A tri-helix triangulated index approach adapted from greenwashing measurement research (Okeke &amp; Rahim, 2026) achieved 89.4% accuracy in classifying label credibility. The findings establish that verification architecture is a critical moderator of label effectiveness and provide a validated framework for evaluating sustainability communication. Implications for certification policy, label design, and consumer protection are discussed.</w:t>
      </w:r>
    </w:p>
    <w:p w14:paraId="61171A5D"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Keywords:</w:t>
      </w:r>
      <w:r w:rsidRPr="00262551">
        <w:rPr>
          <w:rFonts w:ascii="Times New Roman" w:hAnsi="Times New Roman" w:cs="Times New Roman"/>
        </w:rPr>
        <w:t xml:space="preserve"> sustainability labels, cognitive load, brand trust, construct validity</w:t>
      </w:r>
    </w:p>
    <w:p w14:paraId="71325E18" w14:textId="77777777" w:rsidR="00262551" w:rsidRDefault="00262551" w:rsidP="00261729">
      <w:pPr>
        <w:rPr>
          <w:rFonts w:ascii="Times New Roman" w:hAnsi="Times New Roman" w:cs="Times New Roman"/>
        </w:rPr>
      </w:pPr>
    </w:p>
    <w:p w14:paraId="2032F675" w14:textId="75058E56"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1. Introduction</w:t>
      </w:r>
    </w:p>
    <w:p w14:paraId="5E25B8C6"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1.1 Background</w:t>
      </w:r>
    </w:p>
    <w:p w14:paraId="682E6EB3"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The global market for sustainability-labeled products has expanded dramatically, with over 250 distinct eco-labels now active across consumer goods </w:t>
      </w:r>
      <w:proofErr w:type="gramStart"/>
      <w:r w:rsidRPr="00262551">
        <w:rPr>
          <w:rFonts w:ascii="Times New Roman" w:hAnsi="Times New Roman" w:cs="Times New Roman"/>
        </w:rPr>
        <w:t>sectors .</w:t>
      </w:r>
      <w:proofErr w:type="gramEnd"/>
      <w:r w:rsidRPr="00262551">
        <w:rPr>
          <w:rFonts w:ascii="Times New Roman" w:hAnsi="Times New Roman" w:cs="Times New Roman"/>
        </w:rPr>
        <w:t xml:space="preserve"> This proliferation reflects growing consumer demand for credible environmental and social information at the point of purchase. However, the institutional architecture underlying these labels varies substantially: some labels are administered by independent third-party certifying bodies with formal verification protocols, while others are self-declared by manufacturers with minimal external </w:t>
      </w:r>
      <w:proofErr w:type="gramStart"/>
      <w:r w:rsidRPr="00262551">
        <w:rPr>
          <w:rFonts w:ascii="Times New Roman" w:hAnsi="Times New Roman" w:cs="Times New Roman"/>
        </w:rPr>
        <w:t>oversight .</w:t>
      </w:r>
      <w:proofErr w:type="gramEnd"/>
    </w:p>
    <w:p w14:paraId="5859C302"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Prior research has established that green marketing practices, including labeling, positively influence purchase intention, mediated by green trust and perceived </w:t>
      </w:r>
      <w:proofErr w:type="gramStart"/>
      <w:r w:rsidRPr="00262551">
        <w:rPr>
          <w:rFonts w:ascii="Times New Roman" w:hAnsi="Times New Roman" w:cs="Times New Roman"/>
        </w:rPr>
        <w:t>value .</w:t>
      </w:r>
      <w:proofErr w:type="gramEnd"/>
      <w:r w:rsidRPr="00262551">
        <w:rPr>
          <w:rFonts w:ascii="Times New Roman" w:hAnsi="Times New Roman" w:cs="Times New Roman"/>
        </w:rPr>
        <w:t xml:space="preserve"> Third-party certification has been shown to operate through structural legitimacy, conferring credibility through externally validated </w:t>
      </w:r>
      <w:proofErr w:type="gramStart"/>
      <w:r w:rsidRPr="00262551">
        <w:rPr>
          <w:rFonts w:ascii="Times New Roman" w:hAnsi="Times New Roman" w:cs="Times New Roman"/>
        </w:rPr>
        <w:t>standards .</w:t>
      </w:r>
      <w:proofErr w:type="gramEnd"/>
      <w:r w:rsidRPr="00262551">
        <w:rPr>
          <w:rFonts w:ascii="Times New Roman" w:hAnsi="Times New Roman" w:cs="Times New Roman"/>
        </w:rPr>
        <w:t xml:space="preserve"> Yet the comparative effects of verification architecture on consumer information processing and trust formation remain underspecified. The cognitive demands of processing label information interact with verification type in ways that existing research has not adequately modeled.</w:t>
      </w:r>
    </w:p>
    <w:p w14:paraId="069B18D8"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Recent advances in greenwashing measurement provide methodological resources for this investigation. Okeke (2026) developed validated constructs for measuring corporate environmental misrepresentation, demonstrating that misleading claims, selective disclosure, and symbolic environmentalism operate as distinct but interrelated </w:t>
      </w:r>
      <w:proofErr w:type="gramStart"/>
      <w:r w:rsidRPr="00262551">
        <w:rPr>
          <w:rFonts w:ascii="Times New Roman" w:hAnsi="Times New Roman" w:cs="Times New Roman"/>
        </w:rPr>
        <w:t>dimensions .</w:t>
      </w:r>
      <w:proofErr w:type="gramEnd"/>
      <w:r w:rsidRPr="00262551">
        <w:rPr>
          <w:rFonts w:ascii="Times New Roman" w:hAnsi="Times New Roman" w:cs="Times New Roman"/>
        </w:rPr>
        <w:t xml:space="preserve"> Okeke and Rahim (2026) subsequently introduced a triangulated greenwashing index (GWI) integrating linguistic deception analysis with verified performance data, achieving classification accuracy above conventional </w:t>
      </w:r>
      <w:proofErr w:type="gramStart"/>
      <w:r w:rsidRPr="00262551">
        <w:rPr>
          <w:rFonts w:ascii="Times New Roman" w:hAnsi="Times New Roman" w:cs="Times New Roman"/>
        </w:rPr>
        <w:t>thresholds .</w:t>
      </w:r>
      <w:proofErr w:type="gramEnd"/>
      <w:r w:rsidRPr="00262551">
        <w:rPr>
          <w:rFonts w:ascii="Times New Roman" w:hAnsi="Times New Roman" w:cs="Times New Roman"/>
        </w:rPr>
        <w:t xml:space="preserve"> These instruments offer a foundation for evaluating the credibility architecture of sustainability labels.</w:t>
      </w:r>
    </w:p>
    <w:p w14:paraId="0714C647"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1.2 Problem Statement</w:t>
      </w:r>
    </w:p>
    <w:p w14:paraId="430740EC"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Despite substantial literature on green marketing and eco-labels, three critical gaps persist. First, the cognitive burden imposed by different label verification architectures has not been systematically quantified. Research on information processing suggests that consumers have limited ability to process sustainability information when skills or knowledge are absent, or when information overload occurs in retail </w:t>
      </w:r>
      <w:proofErr w:type="gramStart"/>
      <w:r w:rsidRPr="00262551">
        <w:rPr>
          <w:rFonts w:ascii="Times New Roman" w:hAnsi="Times New Roman" w:cs="Times New Roman"/>
        </w:rPr>
        <w:t>environments .</w:t>
      </w:r>
      <w:proofErr w:type="gramEnd"/>
      <w:r w:rsidRPr="00262551">
        <w:rPr>
          <w:rFonts w:ascii="Times New Roman" w:hAnsi="Times New Roman" w:cs="Times New Roman"/>
        </w:rPr>
        <w:t xml:space="preserve"> However, the specific cognitive load differential between third-party and self-certified labels remains unmeasured.</w:t>
      </w:r>
    </w:p>
    <w:p w14:paraId="0852813E"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Second, the construct validity of trust measures applied to different label types has not been examined. Construct validity refers to whether a measure </w:t>
      </w:r>
      <w:proofErr w:type="gramStart"/>
      <w:r w:rsidRPr="00262551">
        <w:rPr>
          <w:rFonts w:ascii="Times New Roman" w:hAnsi="Times New Roman" w:cs="Times New Roman"/>
        </w:rPr>
        <w:t>actually captures</w:t>
      </w:r>
      <w:proofErr w:type="gramEnd"/>
      <w:r w:rsidRPr="00262551">
        <w:rPr>
          <w:rFonts w:ascii="Times New Roman" w:hAnsi="Times New Roman" w:cs="Times New Roman"/>
        </w:rPr>
        <w:t xml:space="preserve"> the concept it purports to </w:t>
      </w:r>
      <w:proofErr w:type="gramStart"/>
      <w:r w:rsidRPr="00262551">
        <w:rPr>
          <w:rFonts w:ascii="Times New Roman" w:hAnsi="Times New Roman" w:cs="Times New Roman"/>
        </w:rPr>
        <w:t>measure .</w:t>
      </w:r>
      <w:proofErr w:type="gramEnd"/>
      <w:r w:rsidRPr="00262551">
        <w:rPr>
          <w:rFonts w:ascii="Times New Roman" w:hAnsi="Times New Roman" w:cs="Times New Roman"/>
        </w:rPr>
        <w:t xml:space="preserve"> If self-certified labels systematically produce inflated trust responses that do not correspond to behavioral outcomes, the construct validity of trust measurement in this context is threatened.</w:t>
      </w:r>
    </w:p>
    <w:p w14:paraId="6034E364"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lastRenderedPageBreak/>
        <w:t xml:space="preserve">Third, existing greenwashing measurement frameworks have not been applied to label verification type as a predictor of consumer response. Okeke (2026) validated constructs for environmental misrepresentation but did not differentiate verification </w:t>
      </w:r>
      <w:proofErr w:type="gramStart"/>
      <w:r w:rsidRPr="00262551">
        <w:rPr>
          <w:rFonts w:ascii="Times New Roman" w:hAnsi="Times New Roman" w:cs="Times New Roman"/>
        </w:rPr>
        <w:t>architectures .</w:t>
      </w:r>
      <w:proofErr w:type="gramEnd"/>
      <w:r w:rsidRPr="00262551">
        <w:rPr>
          <w:rFonts w:ascii="Times New Roman" w:hAnsi="Times New Roman" w:cs="Times New Roman"/>
        </w:rPr>
        <w:t xml:space="preserve"> Okeke and Rahim (2026) developed a triangulated index but focused on corporate-level deception rather than label-level credibility </w:t>
      </w:r>
      <w:proofErr w:type="gramStart"/>
      <w:r w:rsidRPr="00262551">
        <w:rPr>
          <w:rFonts w:ascii="Times New Roman" w:hAnsi="Times New Roman" w:cs="Times New Roman"/>
        </w:rPr>
        <w:t>signals .</w:t>
      </w:r>
      <w:proofErr w:type="gramEnd"/>
    </w:p>
    <w:p w14:paraId="6804522F"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The unsolved issue is therefore: </w:t>
      </w:r>
      <w:r w:rsidRPr="00262551">
        <w:rPr>
          <w:rFonts w:ascii="Times New Roman" w:hAnsi="Times New Roman" w:cs="Times New Roman"/>
          <w:b/>
          <w:bCs/>
        </w:rPr>
        <w:t>no validated framework exists for evaluating how label verification architecture (third-party vs. self-certified) differentially affects consumer cognitive processing, trust formation, and the construct validity of sustainability communication measures.</w:t>
      </w:r>
    </w:p>
    <w:p w14:paraId="08D1D3A2"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1.3 Objectives of the Study</w:t>
      </w:r>
    </w:p>
    <w:p w14:paraId="74B0994F"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General objective:</w:t>
      </w:r>
      <w:r w:rsidRPr="00262551">
        <w:rPr>
          <w:rFonts w:ascii="Times New Roman" w:hAnsi="Times New Roman" w:cs="Times New Roman"/>
        </w:rPr>
        <w:t xml:space="preserve"> To evaluate the differential effects of third-party certified versus self-certified sustainability labels on consumer cognitive load, brand trust, and the construct validity of trust measurement.</w:t>
      </w:r>
    </w:p>
    <w:p w14:paraId="35F65307"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Specific objectives:</w:t>
      </w:r>
    </w:p>
    <w:p w14:paraId="45DBF99A" w14:textId="77777777" w:rsidR="00261729" w:rsidRPr="00262551" w:rsidRDefault="00261729" w:rsidP="00261729">
      <w:pPr>
        <w:numPr>
          <w:ilvl w:val="0"/>
          <w:numId w:val="1"/>
        </w:numPr>
        <w:rPr>
          <w:rFonts w:ascii="Times New Roman" w:hAnsi="Times New Roman" w:cs="Times New Roman"/>
        </w:rPr>
      </w:pPr>
      <w:r w:rsidRPr="00262551">
        <w:rPr>
          <w:rFonts w:ascii="Times New Roman" w:hAnsi="Times New Roman" w:cs="Times New Roman"/>
        </w:rPr>
        <w:t>To quantify the cognitive processing demands associated with third-party versus self-certified labels using response time and eye-tracking metrics.</w:t>
      </w:r>
    </w:p>
    <w:p w14:paraId="23035C6B" w14:textId="77777777" w:rsidR="00261729" w:rsidRPr="00262551" w:rsidRDefault="00261729" w:rsidP="00261729">
      <w:pPr>
        <w:numPr>
          <w:ilvl w:val="0"/>
          <w:numId w:val="1"/>
        </w:numPr>
        <w:rPr>
          <w:rFonts w:ascii="Times New Roman" w:hAnsi="Times New Roman" w:cs="Times New Roman"/>
        </w:rPr>
      </w:pPr>
      <w:r w:rsidRPr="00262551">
        <w:rPr>
          <w:rFonts w:ascii="Times New Roman" w:hAnsi="Times New Roman" w:cs="Times New Roman"/>
        </w:rPr>
        <w:t>To compare brand trust outcomes across verification types and test whether self-certified labels produce inflated trust scores that lack convergent validity with behavioral intention.</w:t>
      </w:r>
    </w:p>
    <w:p w14:paraId="52FD35AF" w14:textId="77777777" w:rsidR="00261729" w:rsidRPr="00262551" w:rsidRDefault="00261729" w:rsidP="00261729">
      <w:pPr>
        <w:numPr>
          <w:ilvl w:val="0"/>
          <w:numId w:val="1"/>
        </w:numPr>
        <w:rPr>
          <w:rFonts w:ascii="Times New Roman" w:hAnsi="Times New Roman" w:cs="Times New Roman"/>
        </w:rPr>
      </w:pPr>
      <w:r w:rsidRPr="00262551">
        <w:rPr>
          <w:rFonts w:ascii="Times New Roman" w:hAnsi="Times New Roman" w:cs="Times New Roman"/>
        </w:rPr>
        <w:t>To develop and validate a multi-dimensional credibility index for classifying label verification architecture using methods adapted from greenwashing measurement research.</w:t>
      </w:r>
    </w:p>
    <w:p w14:paraId="570158FC"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1.4 Research Questions</w:t>
      </w:r>
    </w:p>
    <w:p w14:paraId="69BF904A" w14:textId="77777777" w:rsidR="00261729" w:rsidRPr="00262551" w:rsidRDefault="00261729" w:rsidP="00261729">
      <w:pPr>
        <w:numPr>
          <w:ilvl w:val="0"/>
          <w:numId w:val="2"/>
        </w:numPr>
        <w:rPr>
          <w:rFonts w:ascii="Times New Roman" w:hAnsi="Times New Roman" w:cs="Times New Roman"/>
        </w:rPr>
      </w:pPr>
      <w:r w:rsidRPr="00262551">
        <w:rPr>
          <w:rFonts w:ascii="Times New Roman" w:hAnsi="Times New Roman" w:cs="Times New Roman"/>
        </w:rPr>
        <w:t>What is the magnitude of difference in cognitive load between third-party certified and self-certified sustainability labels, and which label attributes predict processing efficiency?</w:t>
      </w:r>
    </w:p>
    <w:p w14:paraId="750F516E" w14:textId="77777777" w:rsidR="00261729" w:rsidRPr="00262551" w:rsidRDefault="00261729" w:rsidP="00261729">
      <w:pPr>
        <w:numPr>
          <w:ilvl w:val="0"/>
          <w:numId w:val="2"/>
        </w:numPr>
        <w:rPr>
          <w:rFonts w:ascii="Times New Roman" w:hAnsi="Times New Roman" w:cs="Times New Roman"/>
        </w:rPr>
      </w:pPr>
      <w:r w:rsidRPr="00262551">
        <w:rPr>
          <w:rFonts w:ascii="Times New Roman" w:hAnsi="Times New Roman" w:cs="Times New Roman"/>
        </w:rPr>
        <w:t>Do self-certified labels produce trust scores that demonstrate construct validity when compared against behavioral intention and willingness-to-pay measures?</w:t>
      </w:r>
    </w:p>
    <w:p w14:paraId="67B3CE0A" w14:textId="77777777" w:rsidR="00261729" w:rsidRPr="00262551" w:rsidRDefault="00261729" w:rsidP="00261729">
      <w:pPr>
        <w:numPr>
          <w:ilvl w:val="0"/>
          <w:numId w:val="2"/>
        </w:numPr>
        <w:rPr>
          <w:rFonts w:ascii="Times New Roman" w:hAnsi="Times New Roman" w:cs="Times New Roman"/>
        </w:rPr>
      </w:pPr>
      <w:r w:rsidRPr="00262551">
        <w:rPr>
          <w:rFonts w:ascii="Times New Roman" w:hAnsi="Times New Roman" w:cs="Times New Roman"/>
        </w:rPr>
        <w:t>Can a triangulated credibility index adapted from greenwashing measurement achieve acceptable classification accuracy in distinguishing third-party from self-certified labels?</w:t>
      </w:r>
    </w:p>
    <w:p w14:paraId="77F430D1"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1.5 Significance of the Study</w:t>
      </w:r>
    </w:p>
    <w:p w14:paraId="6E01C44C"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For practitioners and label designers:</w:t>
      </w:r>
      <w:r w:rsidRPr="00262551">
        <w:rPr>
          <w:rFonts w:ascii="Times New Roman" w:hAnsi="Times New Roman" w:cs="Times New Roman"/>
        </w:rPr>
        <w:t xml:space="preserve"> The findings provide evidence-based guidance for label design that minimizes cognitive burden while maximizing trust transfer. Specific design attributes that reduce processing demands are identified.</w:t>
      </w:r>
    </w:p>
    <w:p w14:paraId="54D499E9"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lastRenderedPageBreak/>
        <w:t>For policymakers and regulators:</w:t>
      </w:r>
      <w:r w:rsidRPr="00262551">
        <w:rPr>
          <w:rFonts w:ascii="Times New Roman" w:hAnsi="Times New Roman" w:cs="Times New Roman"/>
        </w:rPr>
        <w:t xml:space="preserve"> The study offers empirical justification for regulatory differentiation between verified and self-declared sustainability claims. The construct validity findings support mandates for independent verification in consumer-facing sustainability communication.</w:t>
      </w:r>
    </w:p>
    <w:p w14:paraId="7B2154AF"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For academic literature:</w:t>
      </w:r>
      <w:r w:rsidRPr="00262551">
        <w:rPr>
          <w:rFonts w:ascii="Times New Roman" w:hAnsi="Times New Roman" w:cs="Times New Roman"/>
        </w:rPr>
        <w:t xml:space="preserve"> This research extends legitimacy theory and information processing theory by specifying verification architecture as a moderator of label effectiveness. It introduces construct validity assessment as a methodological tool for sustainability communication research.</w:t>
      </w:r>
    </w:p>
    <w:p w14:paraId="48BAC3FF"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For future researchers:</w:t>
      </w:r>
      <w:r w:rsidRPr="00262551">
        <w:rPr>
          <w:rFonts w:ascii="Times New Roman" w:hAnsi="Times New Roman" w:cs="Times New Roman"/>
        </w:rPr>
        <w:t xml:space="preserve"> The validated credibility index provides a replicable instrument for cross-sector and cross-cultural label evaluation.</w:t>
      </w:r>
    </w:p>
    <w:p w14:paraId="3FFDE262"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1.6 Scope and Limitations</w:t>
      </w:r>
    </w:p>
    <w:p w14:paraId="09E28DCA"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This study examines consumer responses to sustainability labels in three product categories (apparel, food, personal care) within a controlled experimental setting. The sample comprises 1,247 adult consumers in the United States, recruited through a research panel. The study excludes business-to-business label contexts and industrial certification schemes. Key limitations include: (1) laboratory conditions may not fully replicate retail information environments; (2) the sample overrepresents college-educated consumers; (3) self-reported trust measures, while validated, cannot fully capture implicit attitudes.</w:t>
      </w:r>
    </w:p>
    <w:p w14:paraId="15CDD71C" w14:textId="77777777" w:rsidR="00262551" w:rsidRDefault="00262551" w:rsidP="00261729">
      <w:pPr>
        <w:rPr>
          <w:rFonts w:ascii="Times New Roman" w:hAnsi="Times New Roman" w:cs="Times New Roman"/>
        </w:rPr>
      </w:pPr>
    </w:p>
    <w:p w14:paraId="72324B61" w14:textId="77777777" w:rsidR="00262551" w:rsidRDefault="00262551" w:rsidP="00261729">
      <w:pPr>
        <w:rPr>
          <w:rFonts w:ascii="Times New Roman" w:hAnsi="Times New Roman" w:cs="Times New Roman"/>
        </w:rPr>
      </w:pPr>
    </w:p>
    <w:p w14:paraId="1442C333" w14:textId="14C20479"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2. Literature Review</w:t>
      </w:r>
    </w:p>
    <w:p w14:paraId="60472A35"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2.1 Conceptual Review</w:t>
      </w:r>
    </w:p>
    <w:p w14:paraId="252B1350"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Sustainability Labels:</w:t>
      </w:r>
      <w:r w:rsidRPr="00262551">
        <w:rPr>
          <w:rFonts w:ascii="Times New Roman" w:hAnsi="Times New Roman" w:cs="Times New Roman"/>
        </w:rPr>
        <w:t xml:space="preserve"> Sustainability labels are visual or textual signals affixed to products that communicate environmental, social, or ethical attributes of production or composition. Labels vary </w:t>
      </w:r>
      <w:proofErr w:type="gramStart"/>
      <w:r w:rsidRPr="00262551">
        <w:rPr>
          <w:rFonts w:ascii="Times New Roman" w:hAnsi="Times New Roman" w:cs="Times New Roman"/>
        </w:rPr>
        <w:t>along</w:t>
      </w:r>
      <w:proofErr w:type="gramEnd"/>
      <w:r w:rsidRPr="00262551">
        <w:rPr>
          <w:rFonts w:ascii="Times New Roman" w:hAnsi="Times New Roman" w:cs="Times New Roman"/>
        </w:rPr>
        <w:t xml:space="preserve"> dimensions including verification type (first-party/self-declared, second-party/industry-association, third-party/independent), scope (product, process, company), and governance </w:t>
      </w:r>
      <w:proofErr w:type="gramStart"/>
      <w:r w:rsidRPr="00262551">
        <w:rPr>
          <w:rFonts w:ascii="Times New Roman" w:hAnsi="Times New Roman" w:cs="Times New Roman"/>
        </w:rPr>
        <w:t>structure .</w:t>
      </w:r>
      <w:proofErr w:type="gramEnd"/>
    </w:p>
    <w:p w14:paraId="0090B8A9"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Third-Party Certification:</w:t>
      </w:r>
      <w:r w:rsidRPr="00262551">
        <w:rPr>
          <w:rFonts w:ascii="Times New Roman" w:hAnsi="Times New Roman" w:cs="Times New Roman"/>
        </w:rPr>
        <w:t xml:space="preserve"> Third-party certification involves assessment and verification by an independent body with no commercial interest in the certified entity. This architecture operates through what legitimacy theory terms structural legitimacy, aligning practices with externally validated </w:t>
      </w:r>
      <w:proofErr w:type="gramStart"/>
      <w:r w:rsidRPr="00262551">
        <w:rPr>
          <w:rFonts w:ascii="Times New Roman" w:hAnsi="Times New Roman" w:cs="Times New Roman"/>
        </w:rPr>
        <w:t>standards .</w:t>
      </w:r>
      <w:proofErr w:type="gramEnd"/>
      <w:r w:rsidRPr="00262551">
        <w:rPr>
          <w:rFonts w:ascii="Times New Roman" w:hAnsi="Times New Roman" w:cs="Times New Roman"/>
        </w:rPr>
        <w:t xml:space="preserve"> Examples include Fairtrade, Forest Stewardship Council, and Certified B Corporation.</w:t>
      </w:r>
    </w:p>
    <w:p w14:paraId="4B08E1A4"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Self-Certification:</w:t>
      </w:r>
      <w:r w:rsidRPr="00262551">
        <w:rPr>
          <w:rFonts w:ascii="Times New Roman" w:hAnsi="Times New Roman" w:cs="Times New Roman"/>
        </w:rPr>
        <w:t xml:space="preserve"> Self-</w:t>
      </w:r>
      <w:proofErr w:type="gramStart"/>
      <w:r w:rsidRPr="00262551">
        <w:rPr>
          <w:rFonts w:ascii="Times New Roman" w:hAnsi="Times New Roman" w:cs="Times New Roman"/>
        </w:rPr>
        <w:t>certification</w:t>
      </w:r>
      <w:proofErr w:type="gramEnd"/>
      <w:r w:rsidRPr="00262551">
        <w:rPr>
          <w:rFonts w:ascii="Times New Roman" w:hAnsi="Times New Roman" w:cs="Times New Roman"/>
        </w:rPr>
        <w:t xml:space="preserve"> involves a company declaring its own compliance with sustainability standards without independent verification. While potentially rigorous, self-</w:t>
      </w:r>
      <w:r w:rsidRPr="00262551">
        <w:rPr>
          <w:rFonts w:ascii="Times New Roman" w:hAnsi="Times New Roman" w:cs="Times New Roman"/>
        </w:rPr>
        <w:lastRenderedPageBreak/>
        <w:t>declared claims lack the structural legitimacy conferred by external validation and are more susceptible to perceptions of greenwashing.</w:t>
      </w:r>
    </w:p>
    <w:p w14:paraId="2EC53DE7"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Cognitive Load:</w:t>
      </w:r>
      <w:r w:rsidRPr="00262551">
        <w:rPr>
          <w:rFonts w:ascii="Times New Roman" w:hAnsi="Times New Roman" w:cs="Times New Roman"/>
        </w:rPr>
        <w:t xml:space="preserve"> Cognitive load refers to the mental effort required to process information. In consumer contexts, high cognitive load impairs comprehension, recall, and decision quality. Label processing demands are influenced by information complexity, familiarity, and the need for inference or </w:t>
      </w:r>
      <w:proofErr w:type="gramStart"/>
      <w:r w:rsidRPr="00262551">
        <w:rPr>
          <w:rFonts w:ascii="Times New Roman" w:hAnsi="Times New Roman" w:cs="Times New Roman"/>
        </w:rPr>
        <w:t>comparison .</w:t>
      </w:r>
      <w:proofErr w:type="gramEnd"/>
    </w:p>
    <w:p w14:paraId="5FE48661"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Brand Trust:</w:t>
      </w:r>
      <w:r w:rsidRPr="00262551">
        <w:rPr>
          <w:rFonts w:ascii="Times New Roman" w:hAnsi="Times New Roman" w:cs="Times New Roman"/>
        </w:rPr>
        <w:t xml:space="preserve"> Brand trust is the consumer's willingness to rely on a brand based on expectations of competence, benevolence, and integrity. In sustainability contexts, trust functions as a mediator between green marketing practices and purchase </w:t>
      </w:r>
      <w:proofErr w:type="gramStart"/>
      <w:r w:rsidRPr="00262551">
        <w:rPr>
          <w:rFonts w:ascii="Times New Roman" w:hAnsi="Times New Roman" w:cs="Times New Roman"/>
        </w:rPr>
        <w:t>intention .</w:t>
      </w:r>
      <w:proofErr w:type="gramEnd"/>
    </w:p>
    <w:p w14:paraId="5D0431AB"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Construct Validity:</w:t>
      </w:r>
      <w:r w:rsidRPr="00262551">
        <w:rPr>
          <w:rFonts w:ascii="Times New Roman" w:hAnsi="Times New Roman" w:cs="Times New Roman"/>
        </w:rPr>
        <w:t xml:space="preserve"> Construct validity is the degree to which a measurement instrument captures the theoretical construct it is intended to </w:t>
      </w:r>
      <w:proofErr w:type="gramStart"/>
      <w:r w:rsidRPr="00262551">
        <w:rPr>
          <w:rFonts w:ascii="Times New Roman" w:hAnsi="Times New Roman" w:cs="Times New Roman"/>
        </w:rPr>
        <w:t>measure .</w:t>
      </w:r>
      <w:proofErr w:type="gramEnd"/>
      <w:r w:rsidRPr="00262551">
        <w:rPr>
          <w:rFonts w:ascii="Times New Roman" w:hAnsi="Times New Roman" w:cs="Times New Roman"/>
        </w:rPr>
        <w:t xml:space="preserve"> Threats to construct validity include ambiguous definitions, hypothesis guessing, and evaluation </w:t>
      </w:r>
      <w:proofErr w:type="gramStart"/>
      <w:r w:rsidRPr="00262551">
        <w:rPr>
          <w:rFonts w:ascii="Times New Roman" w:hAnsi="Times New Roman" w:cs="Times New Roman"/>
        </w:rPr>
        <w:t>apprehension .</w:t>
      </w:r>
      <w:proofErr w:type="gramEnd"/>
    </w:p>
    <w:p w14:paraId="04F265AF"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2.2 Theoretical Framework</w:t>
      </w:r>
    </w:p>
    <w:p w14:paraId="6233A803"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Legitimacy Theory:</w:t>
      </w:r>
      <w:r w:rsidRPr="00262551">
        <w:rPr>
          <w:rFonts w:ascii="Times New Roman" w:hAnsi="Times New Roman" w:cs="Times New Roman"/>
        </w:rPr>
        <w:t xml:space="preserve"> Legitimacy theory posits that organizations seek to operate within societal norms and expectations, and that communication serves to establish or repair legitimacy. Recent extensions demonstrate that different attributes of disclosure correspond to distinct forms of moral legitimacy: third-party certification operates through structural legitimacy (alignment with external standards), while outcome-focused reporting establishes consequential legitimacy (demonstrating results</w:t>
      </w:r>
      <w:proofErr w:type="gramStart"/>
      <w:r w:rsidRPr="00262551">
        <w:rPr>
          <w:rFonts w:ascii="Times New Roman" w:hAnsi="Times New Roman" w:cs="Times New Roman"/>
        </w:rPr>
        <w:t>) .</w:t>
      </w:r>
      <w:proofErr w:type="gramEnd"/>
      <w:r w:rsidRPr="00262551">
        <w:rPr>
          <w:rFonts w:ascii="Times New Roman" w:hAnsi="Times New Roman" w:cs="Times New Roman"/>
        </w:rPr>
        <w:t xml:space="preserve"> This framework predicts that </w:t>
      </w:r>
      <w:proofErr w:type="gramStart"/>
      <w:r w:rsidRPr="00262551">
        <w:rPr>
          <w:rFonts w:ascii="Times New Roman" w:hAnsi="Times New Roman" w:cs="Times New Roman"/>
        </w:rPr>
        <w:t>verification</w:t>
      </w:r>
      <w:proofErr w:type="gramEnd"/>
      <w:r w:rsidRPr="00262551">
        <w:rPr>
          <w:rFonts w:ascii="Times New Roman" w:hAnsi="Times New Roman" w:cs="Times New Roman"/>
        </w:rPr>
        <w:t xml:space="preserve"> architecture should differentially affect credibility perceptions.</w:t>
      </w:r>
    </w:p>
    <w:p w14:paraId="72C17931"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Information Processing Theory:</w:t>
      </w:r>
      <w:r w:rsidRPr="00262551">
        <w:rPr>
          <w:rFonts w:ascii="Times New Roman" w:hAnsi="Times New Roman" w:cs="Times New Roman"/>
        </w:rPr>
        <w:t xml:space="preserve"> This theory addresses how individuals attend to, encode, and retrieve information. Applied to labels, it predicts that processing demands interact with consumer motivation and ability. When ability is constrained (low knowledge) or motivation is low (collective rather than personal benefit), comprehension fails and heuristic processing </w:t>
      </w:r>
      <w:proofErr w:type="gramStart"/>
      <w:r w:rsidRPr="00262551">
        <w:rPr>
          <w:rFonts w:ascii="Times New Roman" w:hAnsi="Times New Roman" w:cs="Times New Roman"/>
        </w:rPr>
        <w:t>dominates .</w:t>
      </w:r>
      <w:proofErr w:type="gramEnd"/>
    </w:p>
    <w:p w14:paraId="0353418B"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Signaling Theory:</w:t>
      </w:r>
      <w:r w:rsidRPr="00262551">
        <w:rPr>
          <w:rFonts w:ascii="Times New Roman" w:hAnsi="Times New Roman" w:cs="Times New Roman"/>
        </w:rPr>
        <w:t xml:space="preserve"> Signaling theory explains how information asymmetry between senders (firms) and receivers (consumers) is reduced through credible signals. Signal credibility depends on costliness and verifiability. Third-party certification functions as a costly, verifiable signal, whereas self-certification is a low-cost signal susceptible to imitation and </w:t>
      </w:r>
      <w:proofErr w:type="gramStart"/>
      <w:r w:rsidRPr="00262551">
        <w:rPr>
          <w:rFonts w:ascii="Times New Roman" w:hAnsi="Times New Roman" w:cs="Times New Roman"/>
        </w:rPr>
        <w:t>skepticism .</w:t>
      </w:r>
      <w:proofErr w:type="gramEnd"/>
    </w:p>
    <w:p w14:paraId="2C0624F9"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2.3 Empirical Review</w:t>
      </w:r>
    </w:p>
    <w:p w14:paraId="02C53623"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Effects of Green Marketing on Trust:</w:t>
      </w:r>
      <w:r w:rsidRPr="00262551">
        <w:rPr>
          <w:rFonts w:ascii="Times New Roman" w:hAnsi="Times New Roman" w:cs="Times New Roman"/>
        </w:rPr>
        <w:t xml:space="preserve"> A systematic review of 52 empirical studies (2010-2024) found that green labeling positively influences purchase intention, mediated by green trust and perceived </w:t>
      </w:r>
      <w:proofErr w:type="gramStart"/>
      <w:r w:rsidRPr="00262551">
        <w:rPr>
          <w:rFonts w:ascii="Times New Roman" w:hAnsi="Times New Roman" w:cs="Times New Roman"/>
        </w:rPr>
        <w:t>value .</w:t>
      </w:r>
      <w:proofErr w:type="gramEnd"/>
      <w:r w:rsidRPr="00262551">
        <w:rPr>
          <w:rFonts w:ascii="Times New Roman" w:hAnsi="Times New Roman" w:cs="Times New Roman"/>
        </w:rPr>
        <w:t xml:space="preserve"> However, all reviewed studies employed cross-sectional designs, limiting causal inference.</w:t>
      </w:r>
    </w:p>
    <w:p w14:paraId="62BA8061"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lastRenderedPageBreak/>
        <w:t>Third-Party vs. Self-Certification:</w:t>
      </w:r>
      <w:r w:rsidRPr="00262551">
        <w:rPr>
          <w:rFonts w:ascii="Times New Roman" w:hAnsi="Times New Roman" w:cs="Times New Roman"/>
        </w:rPr>
        <w:t xml:space="preserve"> Comparative research demonstrates that third-party certification significantly enhances credibility relative to proprietary standards. Companies should prioritize obtaining third-party certification over developing in-house alternatives, as independent validation confers structural </w:t>
      </w:r>
      <w:proofErr w:type="gramStart"/>
      <w:r w:rsidRPr="00262551">
        <w:rPr>
          <w:rFonts w:ascii="Times New Roman" w:hAnsi="Times New Roman" w:cs="Times New Roman"/>
        </w:rPr>
        <w:t>legitimacy .</w:t>
      </w:r>
      <w:proofErr w:type="gramEnd"/>
      <w:r w:rsidRPr="00262551">
        <w:rPr>
          <w:rFonts w:ascii="Times New Roman" w:hAnsi="Times New Roman" w:cs="Times New Roman"/>
        </w:rPr>
        <w:t xml:space="preserve"> However, this research examined supply chain responsibility communication rather than consumer-facing labels.</w:t>
      </w:r>
    </w:p>
    <w:p w14:paraId="27DBF4C4"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Greenwashing Measurement:</w:t>
      </w:r>
      <w:r w:rsidRPr="00262551">
        <w:rPr>
          <w:rFonts w:ascii="Times New Roman" w:hAnsi="Times New Roman" w:cs="Times New Roman"/>
        </w:rPr>
        <w:t xml:space="preserve"> Okeke (2026) validated a multidimensional framework for environmental misrepresentation, identifying five distinct constructs: misleading environmental claims, selective disclosure, symbolic corporate environmentalism, ESG metric manipulation, and digital </w:t>
      </w:r>
      <w:proofErr w:type="gramStart"/>
      <w:r w:rsidRPr="00262551">
        <w:rPr>
          <w:rFonts w:ascii="Times New Roman" w:hAnsi="Times New Roman" w:cs="Times New Roman"/>
        </w:rPr>
        <w:t>greenwashing .</w:t>
      </w:r>
      <w:proofErr w:type="gramEnd"/>
      <w:r w:rsidRPr="00262551">
        <w:rPr>
          <w:rFonts w:ascii="Times New Roman" w:hAnsi="Times New Roman" w:cs="Times New Roman"/>
        </w:rPr>
        <w:t xml:space="preserve"> Structural equation modeling confirmed that these constructs significantly predict stakeholder perceptions of deception and green trust (γ = 0.58 to 0.83, all p &lt; .01).</w:t>
      </w:r>
    </w:p>
    <w:p w14:paraId="3C49C06C"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Triangulated Greenwashing Index:</w:t>
      </w:r>
      <w:r w:rsidRPr="00262551">
        <w:rPr>
          <w:rFonts w:ascii="Times New Roman" w:hAnsi="Times New Roman" w:cs="Times New Roman"/>
        </w:rPr>
        <w:t xml:space="preserve"> Okeke and Rahim (2026) introduced the Greenwashing Index (GWI), integrating BERT-based natural language processing of linguistic deception with verified performance data. This triangulated approach achieved precision in classifying corporate environmental claims as substantiated or </w:t>
      </w:r>
      <w:proofErr w:type="gramStart"/>
      <w:r w:rsidRPr="00262551">
        <w:rPr>
          <w:rFonts w:ascii="Times New Roman" w:hAnsi="Times New Roman" w:cs="Times New Roman"/>
        </w:rPr>
        <w:t>misrepresented .</w:t>
      </w:r>
      <w:proofErr w:type="gramEnd"/>
    </w:p>
    <w:p w14:paraId="7467B211"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Cognitive Constraints in Label Processing:</w:t>
      </w:r>
      <w:r w:rsidRPr="00262551">
        <w:rPr>
          <w:rFonts w:ascii="Times New Roman" w:hAnsi="Times New Roman" w:cs="Times New Roman"/>
        </w:rPr>
        <w:t xml:space="preserve"> Eye-tracking research indicates that labels receive </w:t>
      </w:r>
      <w:proofErr w:type="gramStart"/>
      <w:r w:rsidRPr="00262551">
        <w:rPr>
          <w:rFonts w:ascii="Times New Roman" w:hAnsi="Times New Roman" w:cs="Times New Roman"/>
        </w:rPr>
        <w:t>attention</w:t>
      </w:r>
      <w:proofErr w:type="gramEnd"/>
      <w:r w:rsidRPr="00262551">
        <w:rPr>
          <w:rFonts w:ascii="Times New Roman" w:hAnsi="Times New Roman" w:cs="Times New Roman"/>
        </w:rPr>
        <w:t xml:space="preserve"> but comprehension often remains low. Incongruent information (label claims not matching expectations) can increase attention and comprehension, but only when motivation and ability are </w:t>
      </w:r>
      <w:proofErr w:type="gramStart"/>
      <w:r w:rsidRPr="00262551">
        <w:rPr>
          <w:rFonts w:ascii="Times New Roman" w:hAnsi="Times New Roman" w:cs="Times New Roman"/>
        </w:rPr>
        <w:t>sufficient .</w:t>
      </w:r>
      <w:proofErr w:type="gramEnd"/>
      <w:r w:rsidRPr="00262551">
        <w:rPr>
          <w:rFonts w:ascii="Times New Roman" w:hAnsi="Times New Roman" w:cs="Times New Roman"/>
        </w:rPr>
        <w:t xml:space="preserve"> The proliferation of over 250 eco-labels creates comparison difficulties even for sustainability </w:t>
      </w:r>
      <w:proofErr w:type="gramStart"/>
      <w:r w:rsidRPr="00262551">
        <w:rPr>
          <w:rFonts w:ascii="Times New Roman" w:hAnsi="Times New Roman" w:cs="Times New Roman"/>
        </w:rPr>
        <w:t>professionals .</w:t>
      </w:r>
      <w:proofErr w:type="gramEnd"/>
    </w:p>
    <w:p w14:paraId="49273747"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2.4 Research Gap</w:t>
      </w:r>
    </w:p>
    <w:p w14:paraId="00807770"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No validated framework exists for evaluating how label verification architecture (third-party vs. self-certified) differentially affects consumer cognitive processing, trust formation, and the construct validity of trust measurement. Existing greenwashing instruments measure corporate-level deception but have not been applied to label-level credibility signals. The cognitive load differential between verification types remains unquantified. The construct validity of trust measures across label types has not been assessed. This study fills these gaps by integrating cognitive load measurement, trust assessment, and validated credibility classification in a unified experimental design.</w:t>
      </w:r>
    </w:p>
    <w:p w14:paraId="477EE92F" w14:textId="77777777" w:rsidR="00262551" w:rsidRDefault="00262551" w:rsidP="00261729">
      <w:pPr>
        <w:rPr>
          <w:rFonts w:ascii="Times New Roman" w:hAnsi="Times New Roman" w:cs="Times New Roman"/>
        </w:rPr>
      </w:pPr>
    </w:p>
    <w:p w14:paraId="10A3CAEB" w14:textId="77777777" w:rsidR="00262551" w:rsidRDefault="00262551" w:rsidP="00261729">
      <w:pPr>
        <w:rPr>
          <w:rFonts w:ascii="Times New Roman" w:hAnsi="Times New Roman" w:cs="Times New Roman"/>
        </w:rPr>
      </w:pPr>
    </w:p>
    <w:p w14:paraId="5A3A3FD2" w14:textId="6AC4880A"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 Methodology</w:t>
      </w:r>
    </w:p>
    <w:p w14:paraId="07AF2EFD"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3.1 Research Design</w:t>
      </w:r>
    </w:p>
    <w:p w14:paraId="66AA4F43"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This study employed a mixed-methods experimental design combining within-subjects eye-tracking with between-subjects survey assignment. The design is appropriate because it allows </w:t>
      </w:r>
      <w:r w:rsidRPr="00262551">
        <w:rPr>
          <w:rFonts w:ascii="Times New Roman" w:hAnsi="Times New Roman" w:cs="Times New Roman"/>
        </w:rPr>
        <w:lastRenderedPageBreak/>
        <w:t xml:space="preserve">simultaneous assessment of implicit processing (eye-tracking, response time) and explicit evaluation (trust, intention) while </w:t>
      </w:r>
      <w:proofErr w:type="gramStart"/>
      <w:r w:rsidRPr="00262551">
        <w:rPr>
          <w:rFonts w:ascii="Times New Roman" w:hAnsi="Times New Roman" w:cs="Times New Roman"/>
        </w:rPr>
        <w:t>controlling for</w:t>
      </w:r>
      <w:proofErr w:type="gramEnd"/>
      <w:r w:rsidRPr="00262551">
        <w:rPr>
          <w:rFonts w:ascii="Times New Roman" w:hAnsi="Times New Roman" w:cs="Times New Roman"/>
        </w:rPr>
        <w:t xml:space="preserve"> individual differences.</w:t>
      </w:r>
    </w:p>
    <w:p w14:paraId="2EAFB5C0"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3.2 Study Area / Population</w:t>
      </w:r>
    </w:p>
    <w:p w14:paraId="25DC5C9F"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The target population comprised adult consumers (18+) in the United States who reported making at least 50% of household purchasing decisions in at least one of three product categories: apparel, packaged food, and personal care products. Recruitment occurred through a university-affiliated research panel.</w:t>
      </w:r>
    </w:p>
    <w:p w14:paraId="11D9F962"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3.3 Sample Size and Sampling Technique</w:t>
      </w:r>
    </w:p>
    <w:p w14:paraId="7240F23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A total of 1,247 participants completed the study. Sample size was determined via power analysis for the primary between-groups comparison (α = .05, power = .95, expected effect size d = 0.25), yielding a minimum of 1,050. Stratified random sampling ensured proportional representation across age groups, education levels, and geographic regions. The final sample was 51.2% female, mean age 41.3 years (SD = 14.7), with 38.4% holding a bachelor's degree or higher.</w:t>
      </w:r>
    </w:p>
    <w:p w14:paraId="40997BCE"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3.4 Data Collection Methods</w:t>
      </w:r>
    </w:p>
    <w:p w14:paraId="5B2F547E"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Data collection occurred in three phases:</w:t>
      </w:r>
    </w:p>
    <w:p w14:paraId="41C94AA1"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Phase 1 (Eye-Tracking):</w:t>
      </w:r>
      <w:r w:rsidRPr="00262551">
        <w:rPr>
          <w:rFonts w:ascii="Times New Roman" w:hAnsi="Times New Roman" w:cs="Times New Roman"/>
        </w:rPr>
        <w:t xml:space="preserve"> Participants viewed 24 product labels (12 third-party certified, 12 self-certified) in randomized </w:t>
      </w:r>
      <w:proofErr w:type="gramStart"/>
      <w:r w:rsidRPr="00262551">
        <w:rPr>
          <w:rFonts w:ascii="Times New Roman" w:hAnsi="Times New Roman" w:cs="Times New Roman"/>
        </w:rPr>
        <w:t>order</w:t>
      </w:r>
      <w:proofErr w:type="gramEnd"/>
      <w:r w:rsidRPr="00262551">
        <w:rPr>
          <w:rFonts w:ascii="Times New Roman" w:hAnsi="Times New Roman" w:cs="Times New Roman"/>
        </w:rPr>
        <w:t>. Eye movements were recorded using a Tobii Pro Spectrum (sampling rate 1200 Hz). Fixation duration, fixation count, and time-to-</w:t>
      </w:r>
      <w:proofErr w:type="gramStart"/>
      <w:r w:rsidRPr="00262551">
        <w:rPr>
          <w:rFonts w:ascii="Times New Roman" w:hAnsi="Times New Roman" w:cs="Times New Roman"/>
        </w:rPr>
        <w:t>first-fixation</w:t>
      </w:r>
      <w:proofErr w:type="gramEnd"/>
      <w:r w:rsidRPr="00262551">
        <w:rPr>
          <w:rFonts w:ascii="Times New Roman" w:hAnsi="Times New Roman" w:cs="Times New Roman"/>
        </w:rPr>
        <w:t xml:space="preserve"> served as cognitive load indicators.</w:t>
      </w:r>
    </w:p>
    <w:p w14:paraId="6240C8B2"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Phase 2 (Survey):</w:t>
      </w:r>
      <w:r w:rsidRPr="00262551">
        <w:rPr>
          <w:rFonts w:ascii="Times New Roman" w:hAnsi="Times New Roman" w:cs="Times New Roman"/>
        </w:rPr>
        <w:t xml:space="preserve"> Immediately following label viewing, participants rated brand trust (7-item scale, α = .91), purchase intention (3-item scale, α = .88), and willingness-to-pay premium. Construct validity items measured perceived credibility, deception likelihood, and label familiarity.</w:t>
      </w:r>
    </w:p>
    <w:p w14:paraId="6A603612"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Phase 3 (Behavioral Validation):</w:t>
      </w:r>
      <w:r w:rsidRPr="00262551">
        <w:rPr>
          <w:rFonts w:ascii="Times New Roman" w:hAnsi="Times New Roman" w:cs="Times New Roman"/>
        </w:rPr>
        <w:t xml:space="preserve"> A subset of 312 participants completed an incentive-compatible choice task where they selected products with real monetary consequences (token exchange value).</w:t>
      </w:r>
    </w:p>
    <w:p w14:paraId="08072F7A"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3.5 Research Instruments</w:t>
      </w:r>
    </w:p>
    <w:p w14:paraId="16B5141E"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Software and Equipment:</w:t>
      </w:r>
      <w:r w:rsidRPr="00262551">
        <w:rPr>
          <w:rFonts w:ascii="Times New Roman" w:hAnsi="Times New Roman" w:cs="Times New Roman"/>
        </w:rPr>
        <w:t xml:space="preserve"> Tobii Pro Lab for eye-tracking data acquisition; Qualtrics for survey administration; Python 3.11 with pandas and scikit-learn for analysis.</w:t>
      </w:r>
    </w:p>
    <w:p w14:paraId="3BD1909A"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Measurement Scales:</w:t>
      </w:r>
      <w:r w:rsidRPr="00262551">
        <w:rPr>
          <w:rFonts w:ascii="Times New Roman" w:hAnsi="Times New Roman" w:cs="Times New Roman"/>
        </w:rPr>
        <w:t xml:space="preserve"> Brand trust was measured using a 7-item scale adapted from prior green marketing </w:t>
      </w:r>
      <w:proofErr w:type="gramStart"/>
      <w:r w:rsidRPr="00262551">
        <w:rPr>
          <w:rFonts w:ascii="Times New Roman" w:hAnsi="Times New Roman" w:cs="Times New Roman"/>
        </w:rPr>
        <w:t>research .</w:t>
      </w:r>
      <w:proofErr w:type="gramEnd"/>
      <w:r w:rsidRPr="00262551">
        <w:rPr>
          <w:rFonts w:ascii="Times New Roman" w:hAnsi="Times New Roman" w:cs="Times New Roman"/>
        </w:rPr>
        <w:t xml:space="preserve"> Cognitive load was operationalized via eye-tracking metrics and self-reported mental effort (Paas scale).</w:t>
      </w:r>
    </w:p>
    <w:p w14:paraId="71A52548"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Credibility Classification Index:</w:t>
      </w:r>
      <w:r w:rsidRPr="00262551">
        <w:rPr>
          <w:rFonts w:ascii="Times New Roman" w:hAnsi="Times New Roman" w:cs="Times New Roman"/>
        </w:rPr>
        <w:t xml:space="preserve"> A tri-helix triangulated index was constructed by adapting the measurement architecture from Okeke and Rahim (2026</w:t>
      </w:r>
      <w:proofErr w:type="gramStart"/>
      <w:r w:rsidRPr="00262551">
        <w:rPr>
          <w:rFonts w:ascii="Times New Roman" w:hAnsi="Times New Roman" w:cs="Times New Roman"/>
        </w:rPr>
        <w:t>) .</w:t>
      </w:r>
      <w:proofErr w:type="gramEnd"/>
      <w:r w:rsidRPr="00262551">
        <w:rPr>
          <w:rFonts w:ascii="Times New Roman" w:hAnsi="Times New Roman" w:cs="Times New Roman"/>
        </w:rPr>
        <w:t xml:space="preserve"> The index integrates three </w:t>
      </w:r>
      <w:r w:rsidRPr="00262551">
        <w:rPr>
          <w:rFonts w:ascii="Times New Roman" w:hAnsi="Times New Roman" w:cs="Times New Roman"/>
        </w:rPr>
        <w:lastRenderedPageBreak/>
        <w:t>dimensions: (1) verification evidence (documentation of independent audit), (2) linguistic certainty calibration (presence of hedging language typical of self-declared claims), and (3) performance substantiation (availability of outcome metrics). Each dimension was scored 0-10, producing a composite credibility score (range 0-30).</w:t>
      </w:r>
    </w:p>
    <w:p w14:paraId="679423FB"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3.6 Validity and Reliability</w:t>
      </w:r>
    </w:p>
    <w:p w14:paraId="39353285"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Content validity:</w:t>
      </w:r>
      <w:r w:rsidRPr="00262551">
        <w:rPr>
          <w:rFonts w:ascii="Times New Roman" w:hAnsi="Times New Roman" w:cs="Times New Roman"/>
        </w:rPr>
        <w:t xml:space="preserve"> Established through expert review (n = 7) and Q-sort procedures, with κ = 0.94 for item-construct </w:t>
      </w:r>
      <w:proofErr w:type="gramStart"/>
      <w:r w:rsidRPr="00262551">
        <w:rPr>
          <w:rFonts w:ascii="Times New Roman" w:hAnsi="Times New Roman" w:cs="Times New Roman"/>
        </w:rPr>
        <w:t>coherence .</w:t>
      </w:r>
      <w:proofErr w:type="gramEnd"/>
    </w:p>
    <w:p w14:paraId="48DFE617"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Predictive validity:</w:t>
      </w:r>
      <w:r w:rsidRPr="00262551">
        <w:rPr>
          <w:rFonts w:ascii="Times New Roman" w:hAnsi="Times New Roman" w:cs="Times New Roman"/>
        </w:rPr>
        <w:t xml:space="preserve"> Trust scores were correlated with behavioral choice in the incentive-compatible task. Convergent validity was assessed via correlation between explicit trust and behavioral intention (target r &gt; .50).</w:t>
      </w:r>
    </w:p>
    <w:p w14:paraId="508AEF06"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Inter-rater reliability:</w:t>
      </w:r>
      <w:r w:rsidRPr="00262551">
        <w:rPr>
          <w:rFonts w:ascii="Times New Roman" w:hAnsi="Times New Roman" w:cs="Times New Roman"/>
        </w:rPr>
        <w:t xml:space="preserve"> Two independent coders classified label verification type for all 24 stimuli; agreement was 100% (κ = 1.00).</w:t>
      </w:r>
    </w:p>
    <w:p w14:paraId="7D009DE1"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3.7 Data Analysis Techniques</w:t>
      </w:r>
    </w:p>
    <w:p w14:paraId="1BB5C5BD"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Cognitive Load Analysis:</w:t>
      </w:r>
      <w:r w:rsidRPr="00262551">
        <w:rPr>
          <w:rFonts w:ascii="Times New Roman" w:hAnsi="Times New Roman" w:cs="Times New Roman"/>
        </w:rPr>
        <w:t xml:space="preserve"> Linear mixed-effects models with participant as random effect, label type as fixed effect, and product category as covariate. Response time data were log-transformed to reduce skew.</w:t>
      </w:r>
    </w:p>
    <w:p w14:paraId="276FA706"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Trust Comparison:</w:t>
      </w:r>
      <w:r w:rsidRPr="00262551">
        <w:rPr>
          <w:rFonts w:ascii="Times New Roman" w:hAnsi="Times New Roman" w:cs="Times New Roman"/>
        </w:rPr>
        <w:t xml:space="preserve"> Independent samples t-tests and ANCOVA controlling for product category and prior label familiarity. Effect sizes reported as Cohen's d.</w:t>
      </w:r>
    </w:p>
    <w:p w14:paraId="01674FF9"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Construct Validity Assessment:</w:t>
      </w:r>
      <w:r w:rsidRPr="00262551">
        <w:rPr>
          <w:rFonts w:ascii="Times New Roman" w:hAnsi="Times New Roman" w:cs="Times New Roman"/>
        </w:rPr>
        <w:t xml:space="preserve"> Convergent validity assessed via correlation between trust and behavioral intention, computed separately for third-party and self-certified conditions. Discriminant validity assessed via Fornell-Larcker criterion and HTMT </w:t>
      </w:r>
      <w:proofErr w:type="gramStart"/>
      <w:r w:rsidRPr="00262551">
        <w:rPr>
          <w:rFonts w:ascii="Times New Roman" w:hAnsi="Times New Roman" w:cs="Times New Roman"/>
        </w:rPr>
        <w:t>ratios .</w:t>
      </w:r>
      <w:proofErr w:type="gramEnd"/>
    </w:p>
    <w:p w14:paraId="7373BF2C"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Classification Performance:</w:t>
      </w:r>
      <w:r w:rsidRPr="00262551">
        <w:rPr>
          <w:rFonts w:ascii="Times New Roman" w:hAnsi="Times New Roman" w:cs="Times New Roman"/>
        </w:rPr>
        <w:t xml:space="preserve"> The credibility index was evaluated using 5-fold cross-validation with accuracy, precision, recall, and F1-score as metrics.</w:t>
      </w:r>
    </w:p>
    <w:p w14:paraId="3A79F246"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3.8 Ethical Considerations</w:t>
      </w:r>
    </w:p>
    <w:p w14:paraId="73502D0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This study used de-identified data from consenting adult participants. No protected health information was accessed. The study protocol was reviewed by the institutional review board and determined to be exempt under 45 CFR 46.104(d)(2) (research involving survey procedures with non-sensitive topics).</w:t>
      </w:r>
    </w:p>
    <w:p w14:paraId="492FC7F9" w14:textId="77777777" w:rsidR="00262551" w:rsidRDefault="00262551" w:rsidP="00261729">
      <w:pPr>
        <w:rPr>
          <w:rFonts w:ascii="Times New Roman" w:hAnsi="Times New Roman" w:cs="Times New Roman"/>
        </w:rPr>
      </w:pPr>
    </w:p>
    <w:p w14:paraId="22F3422E" w14:textId="77777777" w:rsidR="00262551" w:rsidRDefault="00262551" w:rsidP="00261729">
      <w:pPr>
        <w:rPr>
          <w:rFonts w:ascii="Times New Roman" w:hAnsi="Times New Roman" w:cs="Times New Roman"/>
        </w:rPr>
      </w:pPr>
    </w:p>
    <w:p w14:paraId="257D136F" w14:textId="77777777" w:rsidR="00262551" w:rsidRDefault="00262551" w:rsidP="00261729">
      <w:pPr>
        <w:rPr>
          <w:rFonts w:ascii="Times New Roman" w:hAnsi="Times New Roman" w:cs="Times New Roman"/>
        </w:rPr>
      </w:pPr>
    </w:p>
    <w:p w14:paraId="431F50F9" w14:textId="77777777" w:rsidR="00262551" w:rsidRDefault="00262551" w:rsidP="00261729">
      <w:pPr>
        <w:rPr>
          <w:rFonts w:ascii="Times New Roman" w:hAnsi="Times New Roman" w:cs="Times New Roman"/>
        </w:rPr>
      </w:pPr>
    </w:p>
    <w:p w14:paraId="5D3F0E92" w14:textId="4A5F3FCC" w:rsidR="00261729" w:rsidRPr="00262551" w:rsidRDefault="00261729" w:rsidP="00261729">
      <w:pPr>
        <w:rPr>
          <w:rFonts w:ascii="Times New Roman" w:hAnsi="Times New Roman" w:cs="Times New Roman"/>
          <w:b/>
          <w:bCs/>
        </w:rPr>
      </w:pPr>
      <w:r w:rsidRPr="00262551">
        <w:rPr>
          <w:rFonts w:ascii="Times New Roman" w:hAnsi="Times New Roman" w:cs="Times New Roman"/>
          <w:b/>
          <w:bCs/>
        </w:rPr>
        <w:lastRenderedPageBreak/>
        <w:t>4. Results</w:t>
      </w:r>
    </w:p>
    <w:p w14:paraId="571ED333"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4.1 Data Presentation</w:t>
      </w:r>
    </w:p>
    <w:p w14:paraId="54993566"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Table 1. Cognitive Load Indicators by Label Type (Mean, SD)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27"/>
        <w:gridCol w:w="2420"/>
        <w:gridCol w:w="2587"/>
        <w:gridCol w:w="1020"/>
        <w:gridCol w:w="796"/>
      </w:tblGrid>
      <w:tr w:rsidR="00261729" w:rsidRPr="00262551" w14:paraId="1252AF7B" w14:textId="77777777" w:rsidTr="00262551">
        <w:trPr>
          <w:tblHeader/>
        </w:trPr>
        <w:tc>
          <w:tcPr>
            <w:tcW w:w="0" w:type="auto"/>
            <w:tcMar>
              <w:top w:w="150" w:type="dxa"/>
              <w:left w:w="0" w:type="dxa"/>
              <w:bottom w:w="150" w:type="dxa"/>
              <w:right w:w="240" w:type="dxa"/>
            </w:tcMar>
            <w:vAlign w:val="center"/>
            <w:hideMark/>
          </w:tcPr>
          <w:p w14:paraId="14A27D26"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Indicator</w:t>
            </w:r>
          </w:p>
        </w:tc>
        <w:tc>
          <w:tcPr>
            <w:tcW w:w="0" w:type="auto"/>
            <w:tcMar>
              <w:top w:w="150" w:type="dxa"/>
              <w:left w:w="240" w:type="dxa"/>
              <w:bottom w:w="150" w:type="dxa"/>
              <w:right w:w="240" w:type="dxa"/>
            </w:tcMar>
            <w:vAlign w:val="center"/>
            <w:hideMark/>
          </w:tcPr>
          <w:p w14:paraId="38A7CE48"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Third-Party (n=1,247)</w:t>
            </w:r>
          </w:p>
        </w:tc>
        <w:tc>
          <w:tcPr>
            <w:tcW w:w="0" w:type="auto"/>
            <w:tcMar>
              <w:top w:w="150" w:type="dxa"/>
              <w:left w:w="240" w:type="dxa"/>
              <w:bottom w:w="150" w:type="dxa"/>
              <w:right w:w="240" w:type="dxa"/>
            </w:tcMar>
            <w:vAlign w:val="center"/>
            <w:hideMark/>
          </w:tcPr>
          <w:p w14:paraId="18A171D5"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Self-Certified (n=1,247)</w:t>
            </w:r>
          </w:p>
        </w:tc>
        <w:tc>
          <w:tcPr>
            <w:tcW w:w="0" w:type="auto"/>
            <w:tcMar>
              <w:top w:w="150" w:type="dxa"/>
              <w:left w:w="240" w:type="dxa"/>
              <w:bottom w:w="150" w:type="dxa"/>
              <w:right w:w="240" w:type="dxa"/>
            </w:tcMar>
            <w:vAlign w:val="center"/>
            <w:hideMark/>
          </w:tcPr>
          <w:p w14:paraId="0498AB6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w:t>
            </w:r>
          </w:p>
        </w:tc>
        <w:tc>
          <w:tcPr>
            <w:tcW w:w="0" w:type="auto"/>
            <w:tcMar>
              <w:top w:w="150" w:type="dxa"/>
              <w:left w:w="240" w:type="dxa"/>
              <w:bottom w:w="150" w:type="dxa"/>
              <w:right w:w="240" w:type="dxa"/>
            </w:tcMar>
            <w:vAlign w:val="center"/>
            <w:hideMark/>
          </w:tcPr>
          <w:p w14:paraId="6FF48301"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p</w:t>
            </w:r>
          </w:p>
        </w:tc>
      </w:tr>
      <w:tr w:rsidR="00261729" w:rsidRPr="00262551" w14:paraId="1D6B8147" w14:textId="77777777" w:rsidTr="00262551">
        <w:tc>
          <w:tcPr>
            <w:tcW w:w="0" w:type="auto"/>
            <w:tcMar>
              <w:top w:w="150" w:type="dxa"/>
              <w:left w:w="0" w:type="dxa"/>
              <w:bottom w:w="150" w:type="dxa"/>
              <w:right w:w="240" w:type="dxa"/>
            </w:tcMar>
            <w:vAlign w:val="center"/>
            <w:hideMark/>
          </w:tcPr>
          <w:p w14:paraId="0922CDBD"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Fixation duration (</w:t>
            </w:r>
            <w:proofErr w:type="spellStart"/>
            <w:r w:rsidRPr="00262551">
              <w:rPr>
                <w:rFonts w:ascii="Times New Roman" w:hAnsi="Times New Roman" w:cs="Times New Roman"/>
              </w:rPr>
              <w:t>ms</w:t>
            </w:r>
            <w:proofErr w:type="spellEnd"/>
            <w:r w:rsidRPr="00262551">
              <w:rPr>
                <w:rFonts w:ascii="Times New Roman" w:hAnsi="Times New Roman" w:cs="Times New Roman"/>
              </w:rPr>
              <w:t>)</w:t>
            </w:r>
          </w:p>
        </w:tc>
        <w:tc>
          <w:tcPr>
            <w:tcW w:w="0" w:type="auto"/>
            <w:tcMar>
              <w:top w:w="150" w:type="dxa"/>
              <w:left w:w="240" w:type="dxa"/>
              <w:bottom w:w="150" w:type="dxa"/>
              <w:right w:w="240" w:type="dxa"/>
            </w:tcMar>
            <w:vAlign w:val="center"/>
            <w:hideMark/>
          </w:tcPr>
          <w:p w14:paraId="173B8D26"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842 (187)</w:t>
            </w:r>
          </w:p>
        </w:tc>
        <w:tc>
          <w:tcPr>
            <w:tcW w:w="0" w:type="auto"/>
            <w:tcMar>
              <w:top w:w="150" w:type="dxa"/>
              <w:left w:w="240" w:type="dxa"/>
              <w:bottom w:w="150" w:type="dxa"/>
              <w:right w:w="240" w:type="dxa"/>
            </w:tcMar>
            <w:vAlign w:val="center"/>
            <w:hideMark/>
          </w:tcPr>
          <w:p w14:paraId="62A2BB33"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1,474 (312)</w:t>
            </w:r>
          </w:p>
        </w:tc>
        <w:tc>
          <w:tcPr>
            <w:tcW w:w="0" w:type="auto"/>
            <w:tcMar>
              <w:top w:w="150" w:type="dxa"/>
              <w:left w:w="240" w:type="dxa"/>
              <w:bottom w:w="150" w:type="dxa"/>
              <w:right w:w="240" w:type="dxa"/>
            </w:tcMar>
            <w:vAlign w:val="center"/>
            <w:hideMark/>
          </w:tcPr>
          <w:p w14:paraId="17F48FE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18.42</w:t>
            </w:r>
          </w:p>
        </w:tc>
        <w:tc>
          <w:tcPr>
            <w:tcW w:w="0" w:type="auto"/>
            <w:tcMar>
              <w:top w:w="150" w:type="dxa"/>
              <w:left w:w="240" w:type="dxa"/>
              <w:bottom w:w="150" w:type="dxa"/>
              <w:right w:w="0" w:type="dxa"/>
            </w:tcMar>
            <w:vAlign w:val="center"/>
            <w:hideMark/>
          </w:tcPr>
          <w:p w14:paraId="1C41A534"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&lt;.001</w:t>
            </w:r>
          </w:p>
        </w:tc>
      </w:tr>
      <w:tr w:rsidR="00261729" w:rsidRPr="00262551" w14:paraId="0202AD6B" w14:textId="77777777" w:rsidTr="00262551">
        <w:tc>
          <w:tcPr>
            <w:tcW w:w="0" w:type="auto"/>
            <w:tcMar>
              <w:top w:w="150" w:type="dxa"/>
              <w:left w:w="0" w:type="dxa"/>
              <w:bottom w:w="150" w:type="dxa"/>
              <w:right w:w="240" w:type="dxa"/>
            </w:tcMar>
            <w:vAlign w:val="center"/>
            <w:hideMark/>
          </w:tcPr>
          <w:p w14:paraId="404B3BE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Fixation count</w:t>
            </w:r>
          </w:p>
        </w:tc>
        <w:tc>
          <w:tcPr>
            <w:tcW w:w="0" w:type="auto"/>
            <w:tcMar>
              <w:top w:w="150" w:type="dxa"/>
              <w:left w:w="240" w:type="dxa"/>
              <w:bottom w:w="150" w:type="dxa"/>
              <w:right w:w="240" w:type="dxa"/>
            </w:tcMar>
            <w:vAlign w:val="center"/>
            <w:hideMark/>
          </w:tcPr>
          <w:p w14:paraId="21463F8D"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4.2 (1.1)</w:t>
            </w:r>
          </w:p>
        </w:tc>
        <w:tc>
          <w:tcPr>
            <w:tcW w:w="0" w:type="auto"/>
            <w:tcMar>
              <w:top w:w="150" w:type="dxa"/>
              <w:left w:w="240" w:type="dxa"/>
              <w:bottom w:w="150" w:type="dxa"/>
              <w:right w:w="240" w:type="dxa"/>
            </w:tcMar>
            <w:vAlign w:val="center"/>
            <w:hideMark/>
          </w:tcPr>
          <w:p w14:paraId="1F00B8E6"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7.8 (2.3)</w:t>
            </w:r>
          </w:p>
        </w:tc>
        <w:tc>
          <w:tcPr>
            <w:tcW w:w="0" w:type="auto"/>
            <w:tcMar>
              <w:top w:w="150" w:type="dxa"/>
              <w:left w:w="240" w:type="dxa"/>
              <w:bottom w:w="150" w:type="dxa"/>
              <w:right w:w="240" w:type="dxa"/>
            </w:tcMar>
            <w:vAlign w:val="center"/>
            <w:hideMark/>
          </w:tcPr>
          <w:p w14:paraId="79C21DA0"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15.67</w:t>
            </w:r>
          </w:p>
        </w:tc>
        <w:tc>
          <w:tcPr>
            <w:tcW w:w="0" w:type="auto"/>
            <w:tcMar>
              <w:top w:w="150" w:type="dxa"/>
              <w:left w:w="240" w:type="dxa"/>
              <w:bottom w:w="150" w:type="dxa"/>
              <w:right w:w="0" w:type="dxa"/>
            </w:tcMar>
            <w:vAlign w:val="center"/>
            <w:hideMark/>
          </w:tcPr>
          <w:p w14:paraId="26F78DAB"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&lt;.001</w:t>
            </w:r>
          </w:p>
        </w:tc>
      </w:tr>
      <w:tr w:rsidR="00261729" w:rsidRPr="00262551" w14:paraId="71D10516" w14:textId="77777777" w:rsidTr="00262551">
        <w:tc>
          <w:tcPr>
            <w:tcW w:w="0" w:type="auto"/>
            <w:tcMar>
              <w:top w:w="150" w:type="dxa"/>
              <w:left w:w="0" w:type="dxa"/>
              <w:bottom w:w="150" w:type="dxa"/>
              <w:right w:w="240" w:type="dxa"/>
            </w:tcMar>
            <w:vAlign w:val="center"/>
            <w:hideMark/>
          </w:tcPr>
          <w:p w14:paraId="3BC3A29C"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Time to first fixation (</w:t>
            </w:r>
            <w:proofErr w:type="spellStart"/>
            <w:r w:rsidRPr="00262551">
              <w:rPr>
                <w:rFonts w:ascii="Times New Roman" w:hAnsi="Times New Roman" w:cs="Times New Roman"/>
              </w:rPr>
              <w:t>ms</w:t>
            </w:r>
            <w:proofErr w:type="spellEnd"/>
            <w:r w:rsidRPr="00262551">
              <w:rPr>
                <w:rFonts w:ascii="Times New Roman" w:hAnsi="Times New Roman" w:cs="Times New Roman"/>
              </w:rPr>
              <w:t>)</w:t>
            </w:r>
          </w:p>
        </w:tc>
        <w:tc>
          <w:tcPr>
            <w:tcW w:w="0" w:type="auto"/>
            <w:tcMar>
              <w:top w:w="150" w:type="dxa"/>
              <w:left w:w="240" w:type="dxa"/>
              <w:bottom w:w="150" w:type="dxa"/>
              <w:right w:w="240" w:type="dxa"/>
            </w:tcMar>
            <w:vAlign w:val="center"/>
            <w:hideMark/>
          </w:tcPr>
          <w:p w14:paraId="5B42121D"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1,203 (298)</w:t>
            </w:r>
          </w:p>
        </w:tc>
        <w:tc>
          <w:tcPr>
            <w:tcW w:w="0" w:type="auto"/>
            <w:tcMar>
              <w:top w:w="150" w:type="dxa"/>
              <w:left w:w="240" w:type="dxa"/>
              <w:bottom w:w="150" w:type="dxa"/>
              <w:right w:w="240" w:type="dxa"/>
            </w:tcMar>
            <w:vAlign w:val="center"/>
            <w:hideMark/>
          </w:tcPr>
          <w:p w14:paraId="10BDD268"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1,189 (305)</w:t>
            </w:r>
          </w:p>
        </w:tc>
        <w:tc>
          <w:tcPr>
            <w:tcW w:w="0" w:type="auto"/>
            <w:tcMar>
              <w:top w:w="150" w:type="dxa"/>
              <w:left w:w="240" w:type="dxa"/>
              <w:bottom w:w="150" w:type="dxa"/>
              <w:right w:w="240" w:type="dxa"/>
            </w:tcMar>
            <w:vAlign w:val="center"/>
            <w:hideMark/>
          </w:tcPr>
          <w:p w14:paraId="5D3D9A86"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0.89</w:t>
            </w:r>
          </w:p>
        </w:tc>
        <w:tc>
          <w:tcPr>
            <w:tcW w:w="0" w:type="auto"/>
            <w:tcMar>
              <w:top w:w="150" w:type="dxa"/>
              <w:left w:w="240" w:type="dxa"/>
              <w:bottom w:w="150" w:type="dxa"/>
              <w:right w:w="0" w:type="dxa"/>
            </w:tcMar>
            <w:vAlign w:val="center"/>
            <w:hideMark/>
          </w:tcPr>
          <w:p w14:paraId="1F5DF01B"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.374</w:t>
            </w:r>
          </w:p>
        </w:tc>
      </w:tr>
      <w:tr w:rsidR="00261729" w:rsidRPr="00262551" w14:paraId="7B164AF7" w14:textId="77777777" w:rsidTr="00262551">
        <w:tc>
          <w:tcPr>
            <w:tcW w:w="0" w:type="auto"/>
            <w:tcMar>
              <w:top w:w="150" w:type="dxa"/>
              <w:left w:w="0" w:type="dxa"/>
              <w:bottom w:w="150" w:type="dxa"/>
              <w:right w:w="240" w:type="dxa"/>
            </w:tcMar>
            <w:vAlign w:val="center"/>
            <w:hideMark/>
          </w:tcPr>
          <w:p w14:paraId="7ABD0F8E"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Self-reported mental effort</w:t>
            </w:r>
          </w:p>
        </w:tc>
        <w:tc>
          <w:tcPr>
            <w:tcW w:w="0" w:type="auto"/>
            <w:tcMar>
              <w:top w:w="150" w:type="dxa"/>
              <w:left w:w="240" w:type="dxa"/>
              <w:bottom w:w="150" w:type="dxa"/>
              <w:right w:w="240" w:type="dxa"/>
            </w:tcMar>
            <w:vAlign w:val="center"/>
            <w:hideMark/>
          </w:tcPr>
          <w:p w14:paraId="420AB073"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3.1 (1.2)</w:t>
            </w:r>
          </w:p>
        </w:tc>
        <w:tc>
          <w:tcPr>
            <w:tcW w:w="0" w:type="auto"/>
            <w:tcMar>
              <w:top w:w="150" w:type="dxa"/>
              <w:left w:w="240" w:type="dxa"/>
              <w:bottom w:w="150" w:type="dxa"/>
              <w:right w:w="240" w:type="dxa"/>
            </w:tcMar>
            <w:vAlign w:val="center"/>
            <w:hideMark/>
          </w:tcPr>
          <w:p w14:paraId="2F1FFAFA"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5.4 (1.4)</w:t>
            </w:r>
          </w:p>
        </w:tc>
        <w:tc>
          <w:tcPr>
            <w:tcW w:w="0" w:type="auto"/>
            <w:tcMar>
              <w:top w:w="150" w:type="dxa"/>
              <w:left w:w="240" w:type="dxa"/>
              <w:bottom w:w="150" w:type="dxa"/>
              <w:right w:w="240" w:type="dxa"/>
            </w:tcMar>
            <w:vAlign w:val="center"/>
            <w:hideMark/>
          </w:tcPr>
          <w:p w14:paraId="78EC226E"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14.23</w:t>
            </w:r>
          </w:p>
        </w:tc>
        <w:tc>
          <w:tcPr>
            <w:tcW w:w="0" w:type="auto"/>
            <w:tcMar>
              <w:top w:w="150" w:type="dxa"/>
              <w:left w:w="240" w:type="dxa"/>
              <w:bottom w:w="150" w:type="dxa"/>
              <w:right w:w="0" w:type="dxa"/>
            </w:tcMar>
            <w:vAlign w:val="center"/>
            <w:hideMark/>
          </w:tcPr>
          <w:p w14:paraId="15F1DF75"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&lt;.001</w:t>
            </w:r>
          </w:p>
        </w:tc>
      </w:tr>
    </w:tbl>
    <w:p w14:paraId="2146E02A"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Table 1 presents cognitive load indicators. Third-party certified labels required significantly fewer fixations and less mental effort, while time to first fixation did not differ, indicating equivalent initial attention capture.</w:t>
      </w:r>
    </w:p>
    <w:p w14:paraId="37127D9B"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Table 2. Trust and Behavioral Outcomes by Label Type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71"/>
        <w:gridCol w:w="1600"/>
        <w:gridCol w:w="1800"/>
        <w:gridCol w:w="1020"/>
        <w:gridCol w:w="1036"/>
        <w:gridCol w:w="660"/>
      </w:tblGrid>
      <w:tr w:rsidR="00261729" w:rsidRPr="00262551" w14:paraId="3F318CFC" w14:textId="77777777" w:rsidTr="00262551">
        <w:trPr>
          <w:tblHeader/>
        </w:trPr>
        <w:tc>
          <w:tcPr>
            <w:tcW w:w="0" w:type="auto"/>
            <w:tcMar>
              <w:top w:w="150" w:type="dxa"/>
              <w:left w:w="0" w:type="dxa"/>
              <w:bottom w:w="150" w:type="dxa"/>
              <w:right w:w="240" w:type="dxa"/>
            </w:tcMar>
            <w:vAlign w:val="center"/>
            <w:hideMark/>
          </w:tcPr>
          <w:p w14:paraId="5B696EAF"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Measure</w:t>
            </w:r>
          </w:p>
        </w:tc>
        <w:tc>
          <w:tcPr>
            <w:tcW w:w="0" w:type="auto"/>
            <w:tcMar>
              <w:top w:w="150" w:type="dxa"/>
              <w:left w:w="240" w:type="dxa"/>
              <w:bottom w:w="150" w:type="dxa"/>
              <w:right w:w="240" w:type="dxa"/>
            </w:tcMar>
            <w:vAlign w:val="center"/>
            <w:hideMark/>
          </w:tcPr>
          <w:p w14:paraId="76C8256F"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Third-Party</w:t>
            </w:r>
          </w:p>
        </w:tc>
        <w:tc>
          <w:tcPr>
            <w:tcW w:w="0" w:type="auto"/>
            <w:tcMar>
              <w:top w:w="150" w:type="dxa"/>
              <w:left w:w="240" w:type="dxa"/>
              <w:bottom w:w="150" w:type="dxa"/>
              <w:right w:w="240" w:type="dxa"/>
            </w:tcMar>
            <w:vAlign w:val="center"/>
            <w:hideMark/>
          </w:tcPr>
          <w:p w14:paraId="775108CF"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Self-Certified</w:t>
            </w:r>
          </w:p>
        </w:tc>
        <w:tc>
          <w:tcPr>
            <w:tcW w:w="0" w:type="auto"/>
            <w:tcMar>
              <w:top w:w="150" w:type="dxa"/>
              <w:left w:w="240" w:type="dxa"/>
              <w:bottom w:w="150" w:type="dxa"/>
              <w:right w:w="240" w:type="dxa"/>
            </w:tcMar>
            <w:vAlign w:val="center"/>
            <w:hideMark/>
          </w:tcPr>
          <w:p w14:paraId="7ACBE635"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w:t>
            </w:r>
          </w:p>
        </w:tc>
        <w:tc>
          <w:tcPr>
            <w:tcW w:w="0" w:type="auto"/>
            <w:tcMar>
              <w:top w:w="150" w:type="dxa"/>
              <w:left w:w="240" w:type="dxa"/>
              <w:bottom w:w="150" w:type="dxa"/>
              <w:right w:w="240" w:type="dxa"/>
            </w:tcMar>
            <w:vAlign w:val="center"/>
            <w:hideMark/>
          </w:tcPr>
          <w:p w14:paraId="7B4B6694"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p</w:t>
            </w:r>
          </w:p>
        </w:tc>
        <w:tc>
          <w:tcPr>
            <w:tcW w:w="0" w:type="auto"/>
            <w:tcMar>
              <w:top w:w="150" w:type="dxa"/>
              <w:left w:w="240" w:type="dxa"/>
              <w:bottom w:w="150" w:type="dxa"/>
              <w:right w:w="240" w:type="dxa"/>
            </w:tcMar>
            <w:vAlign w:val="center"/>
            <w:hideMark/>
          </w:tcPr>
          <w:p w14:paraId="16AB2831"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d</w:t>
            </w:r>
          </w:p>
        </w:tc>
      </w:tr>
      <w:tr w:rsidR="00261729" w:rsidRPr="00262551" w14:paraId="3D70450F" w14:textId="77777777" w:rsidTr="00262551">
        <w:tc>
          <w:tcPr>
            <w:tcW w:w="0" w:type="auto"/>
            <w:tcMar>
              <w:top w:w="150" w:type="dxa"/>
              <w:left w:w="0" w:type="dxa"/>
              <w:bottom w:w="150" w:type="dxa"/>
              <w:right w:w="240" w:type="dxa"/>
            </w:tcMar>
            <w:vAlign w:val="center"/>
            <w:hideMark/>
          </w:tcPr>
          <w:p w14:paraId="6AFA6753"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Brand trust (1-7)</w:t>
            </w:r>
          </w:p>
        </w:tc>
        <w:tc>
          <w:tcPr>
            <w:tcW w:w="0" w:type="auto"/>
            <w:tcMar>
              <w:top w:w="150" w:type="dxa"/>
              <w:left w:w="240" w:type="dxa"/>
              <w:bottom w:w="150" w:type="dxa"/>
              <w:right w:w="240" w:type="dxa"/>
            </w:tcMar>
            <w:vAlign w:val="center"/>
            <w:hideMark/>
          </w:tcPr>
          <w:p w14:paraId="235ADBCE"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5.31 (1.02)</w:t>
            </w:r>
          </w:p>
        </w:tc>
        <w:tc>
          <w:tcPr>
            <w:tcW w:w="0" w:type="auto"/>
            <w:tcMar>
              <w:top w:w="150" w:type="dxa"/>
              <w:left w:w="240" w:type="dxa"/>
              <w:bottom w:w="150" w:type="dxa"/>
              <w:right w:w="240" w:type="dxa"/>
            </w:tcMar>
            <w:vAlign w:val="center"/>
            <w:hideMark/>
          </w:tcPr>
          <w:p w14:paraId="6FAF4307"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4.12 (1.18)</w:t>
            </w:r>
          </w:p>
        </w:tc>
        <w:tc>
          <w:tcPr>
            <w:tcW w:w="0" w:type="auto"/>
            <w:tcMar>
              <w:top w:w="150" w:type="dxa"/>
              <w:left w:w="240" w:type="dxa"/>
              <w:bottom w:w="150" w:type="dxa"/>
              <w:right w:w="240" w:type="dxa"/>
            </w:tcMar>
            <w:vAlign w:val="center"/>
            <w:hideMark/>
          </w:tcPr>
          <w:p w14:paraId="31AB518A"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12.84</w:t>
            </w:r>
          </w:p>
        </w:tc>
        <w:tc>
          <w:tcPr>
            <w:tcW w:w="0" w:type="auto"/>
            <w:tcMar>
              <w:top w:w="150" w:type="dxa"/>
              <w:left w:w="240" w:type="dxa"/>
              <w:bottom w:w="150" w:type="dxa"/>
              <w:right w:w="240" w:type="dxa"/>
            </w:tcMar>
            <w:vAlign w:val="center"/>
            <w:hideMark/>
          </w:tcPr>
          <w:p w14:paraId="1463E77D"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&lt;.001</w:t>
            </w:r>
          </w:p>
        </w:tc>
        <w:tc>
          <w:tcPr>
            <w:tcW w:w="0" w:type="auto"/>
            <w:tcMar>
              <w:top w:w="150" w:type="dxa"/>
              <w:left w:w="240" w:type="dxa"/>
              <w:bottom w:w="150" w:type="dxa"/>
              <w:right w:w="0" w:type="dxa"/>
            </w:tcMar>
            <w:vAlign w:val="center"/>
            <w:hideMark/>
          </w:tcPr>
          <w:p w14:paraId="57B45D68"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1.07</w:t>
            </w:r>
          </w:p>
        </w:tc>
      </w:tr>
      <w:tr w:rsidR="00261729" w:rsidRPr="00262551" w14:paraId="668E6E93" w14:textId="77777777" w:rsidTr="00262551">
        <w:tc>
          <w:tcPr>
            <w:tcW w:w="0" w:type="auto"/>
            <w:tcMar>
              <w:top w:w="150" w:type="dxa"/>
              <w:left w:w="0" w:type="dxa"/>
              <w:bottom w:w="150" w:type="dxa"/>
              <w:right w:w="240" w:type="dxa"/>
            </w:tcMar>
            <w:vAlign w:val="center"/>
            <w:hideMark/>
          </w:tcPr>
          <w:p w14:paraId="171627F8"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Purchase intention (1-7)</w:t>
            </w:r>
          </w:p>
        </w:tc>
        <w:tc>
          <w:tcPr>
            <w:tcW w:w="0" w:type="auto"/>
            <w:tcMar>
              <w:top w:w="150" w:type="dxa"/>
              <w:left w:w="240" w:type="dxa"/>
              <w:bottom w:w="150" w:type="dxa"/>
              <w:right w:w="240" w:type="dxa"/>
            </w:tcMar>
            <w:vAlign w:val="center"/>
            <w:hideMark/>
          </w:tcPr>
          <w:p w14:paraId="48080E90"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4.87 (1.21)</w:t>
            </w:r>
          </w:p>
        </w:tc>
        <w:tc>
          <w:tcPr>
            <w:tcW w:w="0" w:type="auto"/>
            <w:tcMar>
              <w:top w:w="150" w:type="dxa"/>
              <w:left w:w="240" w:type="dxa"/>
              <w:bottom w:w="150" w:type="dxa"/>
              <w:right w:w="240" w:type="dxa"/>
            </w:tcMar>
            <w:vAlign w:val="center"/>
            <w:hideMark/>
          </w:tcPr>
          <w:p w14:paraId="7823905D"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4.03 (1.34)</w:t>
            </w:r>
          </w:p>
        </w:tc>
        <w:tc>
          <w:tcPr>
            <w:tcW w:w="0" w:type="auto"/>
            <w:tcMar>
              <w:top w:w="150" w:type="dxa"/>
              <w:left w:w="240" w:type="dxa"/>
              <w:bottom w:w="150" w:type="dxa"/>
              <w:right w:w="240" w:type="dxa"/>
            </w:tcMar>
            <w:vAlign w:val="center"/>
            <w:hideMark/>
          </w:tcPr>
          <w:p w14:paraId="076628C3"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9.12</w:t>
            </w:r>
          </w:p>
        </w:tc>
        <w:tc>
          <w:tcPr>
            <w:tcW w:w="0" w:type="auto"/>
            <w:tcMar>
              <w:top w:w="150" w:type="dxa"/>
              <w:left w:w="240" w:type="dxa"/>
              <w:bottom w:w="150" w:type="dxa"/>
              <w:right w:w="240" w:type="dxa"/>
            </w:tcMar>
            <w:vAlign w:val="center"/>
            <w:hideMark/>
          </w:tcPr>
          <w:p w14:paraId="753686BF"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&lt;.001</w:t>
            </w:r>
          </w:p>
        </w:tc>
        <w:tc>
          <w:tcPr>
            <w:tcW w:w="0" w:type="auto"/>
            <w:tcMar>
              <w:top w:w="150" w:type="dxa"/>
              <w:left w:w="240" w:type="dxa"/>
              <w:bottom w:w="150" w:type="dxa"/>
              <w:right w:w="0" w:type="dxa"/>
            </w:tcMar>
            <w:vAlign w:val="center"/>
            <w:hideMark/>
          </w:tcPr>
          <w:p w14:paraId="47DC394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0.66</w:t>
            </w:r>
          </w:p>
        </w:tc>
      </w:tr>
      <w:tr w:rsidR="00261729" w:rsidRPr="00262551" w14:paraId="71D2A433" w14:textId="77777777" w:rsidTr="00262551">
        <w:tc>
          <w:tcPr>
            <w:tcW w:w="0" w:type="auto"/>
            <w:tcMar>
              <w:top w:w="150" w:type="dxa"/>
              <w:left w:w="0" w:type="dxa"/>
              <w:bottom w:w="150" w:type="dxa"/>
              <w:right w:w="240" w:type="dxa"/>
            </w:tcMar>
            <w:vAlign w:val="center"/>
            <w:hideMark/>
          </w:tcPr>
          <w:p w14:paraId="0134DB11"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WTP premium (%)</w:t>
            </w:r>
          </w:p>
        </w:tc>
        <w:tc>
          <w:tcPr>
            <w:tcW w:w="0" w:type="auto"/>
            <w:tcMar>
              <w:top w:w="150" w:type="dxa"/>
              <w:left w:w="240" w:type="dxa"/>
              <w:bottom w:w="150" w:type="dxa"/>
              <w:right w:w="240" w:type="dxa"/>
            </w:tcMar>
            <w:vAlign w:val="center"/>
            <w:hideMark/>
          </w:tcPr>
          <w:p w14:paraId="63C4D09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18.4 (9.2)</w:t>
            </w:r>
          </w:p>
        </w:tc>
        <w:tc>
          <w:tcPr>
            <w:tcW w:w="0" w:type="auto"/>
            <w:tcMar>
              <w:top w:w="150" w:type="dxa"/>
              <w:left w:w="240" w:type="dxa"/>
              <w:bottom w:w="150" w:type="dxa"/>
              <w:right w:w="240" w:type="dxa"/>
            </w:tcMar>
            <w:vAlign w:val="center"/>
            <w:hideMark/>
          </w:tcPr>
          <w:p w14:paraId="10836AFB"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11.7 (8.4)</w:t>
            </w:r>
          </w:p>
        </w:tc>
        <w:tc>
          <w:tcPr>
            <w:tcW w:w="0" w:type="auto"/>
            <w:tcMar>
              <w:top w:w="150" w:type="dxa"/>
              <w:left w:w="240" w:type="dxa"/>
              <w:bottom w:w="150" w:type="dxa"/>
              <w:right w:w="240" w:type="dxa"/>
            </w:tcMar>
            <w:vAlign w:val="center"/>
            <w:hideMark/>
          </w:tcPr>
          <w:p w14:paraId="1CABE59E"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8.94</w:t>
            </w:r>
          </w:p>
        </w:tc>
        <w:tc>
          <w:tcPr>
            <w:tcW w:w="0" w:type="auto"/>
            <w:tcMar>
              <w:top w:w="150" w:type="dxa"/>
              <w:left w:w="240" w:type="dxa"/>
              <w:bottom w:w="150" w:type="dxa"/>
              <w:right w:w="240" w:type="dxa"/>
            </w:tcMar>
            <w:vAlign w:val="center"/>
            <w:hideMark/>
          </w:tcPr>
          <w:p w14:paraId="0994AE5A"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&lt;.001</w:t>
            </w:r>
          </w:p>
        </w:tc>
        <w:tc>
          <w:tcPr>
            <w:tcW w:w="0" w:type="auto"/>
            <w:tcMar>
              <w:top w:w="150" w:type="dxa"/>
              <w:left w:w="240" w:type="dxa"/>
              <w:bottom w:w="150" w:type="dxa"/>
              <w:right w:w="0" w:type="dxa"/>
            </w:tcMar>
            <w:vAlign w:val="center"/>
            <w:hideMark/>
          </w:tcPr>
          <w:p w14:paraId="27F15EE8"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0.76</w:t>
            </w:r>
          </w:p>
        </w:tc>
      </w:tr>
      <w:tr w:rsidR="00261729" w:rsidRPr="00262551" w14:paraId="592A13B5" w14:textId="77777777" w:rsidTr="00262551">
        <w:tc>
          <w:tcPr>
            <w:tcW w:w="0" w:type="auto"/>
            <w:tcMar>
              <w:top w:w="150" w:type="dxa"/>
              <w:left w:w="0" w:type="dxa"/>
              <w:bottom w:w="150" w:type="dxa"/>
              <w:right w:w="240" w:type="dxa"/>
            </w:tcMar>
            <w:vAlign w:val="center"/>
            <w:hideMark/>
          </w:tcPr>
          <w:p w14:paraId="38F22207"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Trust-intention correlation</w:t>
            </w:r>
          </w:p>
        </w:tc>
        <w:tc>
          <w:tcPr>
            <w:tcW w:w="0" w:type="auto"/>
            <w:tcMar>
              <w:top w:w="150" w:type="dxa"/>
              <w:left w:w="240" w:type="dxa"/>
              <w:bottom w:w="150" w:type="dxa"/>
              <w:right w:w="240" w:type="dxa"/>
            </w:tcMar>
            <w:vAlign w:val="center"/>
            <w:hideMark/>
          </w:tcPr>
          <w:p w14:paraId="3C1036CB"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.68</w:t>
            </w:r>
          </w:p>
        </w:tc>
        <w:tc>
          <w:tcPr>
            <w:tcW w:w="0" w:type="auto"/>
            <w:tcMar>
              <w:top w:w="150" w:type="dxa"/>
              <w:left w:w="240" w:type="dxa"/>
              <w:bottom w:w="150" w:type="dxa"/>
              <w:right w:w="240" w:type="dxa"/>
            </w:tcMar>
            <w:vAlign w:val="center"/>
            <w:hideMark/>
          </w:tcPr>
          <w:p w14:paraId="5512D1D3"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.41</w:t>
            </w:r>
          </w:p>
        </w:tc>
        <w:tc>
          <w:tcPr>
            <w:tcW w:w="0" w:type="auto"/>
            <w:tcMar>
              <w:top w:w="150" w:type="dxa"/>
              <w:left w:w="240" w:type="dxa"/>
              <w:bottom w:w="150" w:type="dxa"/>
              <w:right w:w="240" w:type="dxa"/>
            </w:tcMar>
            <w:vAlign w:val="center"/>
            <w:hideMark/>
          </w:tcPr>
          <w:p w14:paraId="4E0881D0"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w:t>
            </w:r>
          </w:p>
        </w:tc>
        <w:tc>
          <w:tcPr>
            <w:tcW w:w="0" w:type="auto"/>
            <w:tcMar>
              <w:top w:w="150" w:type="dxa"/>
              <w:left w:w="240" w:type="dxa"/>
              <w:bottom w:w="150" w:type="dxa"/>
              <w:right w:w="240" w:type="dxa"/>
            </w:tcMar>
            <w:vAlign w:val="center"/>
            <w:hideMark/>
          </w:tcPr>
          <w:p w14:paraId="3768F390"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w:t>
            </w:r>
          </w:p>
        </w:tc>
        <w:tc>
          <w:tcPr>
            <w:tcW w:w="0" w:type="auto"/>
            <w:tcMar>
              <w:top w:w="150" w:type="dxa"/>
              <w:left w:w="240" w:type="dxa"/>
              <w:bottom w:w="150" w:type="dxa"/>
              <w:right w:w="0" w:type="dxa"/>
            </w:tcMar>
            <w:vAlign w:val="center"/>
            <w:hideMark/>
          </w:tcPr>
          <w:p w14:paraId="50549D7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w:t>
            </w:r>
          </w:p>
        </w:tc>
      </w:tr>
    </w:tbl>
    <w:p w14:paraId="3E42DE0C"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Table 2 presents trust and behavioral outcomes. Third-party labels produced significantly higher trust and purchase intention. Critically, the trust-intention correlation was substantially stronger </w:t>
      </w:r>
      <w:r w:rsidRPr="00262551">
        <w:rPr>
          <w:rFonts w:ascii="Times New Roman" w:hAnsi="Times New Roman" w:cs="Times New Roman"/>
        </w:rPr>
        <w:lastRenderedPageBreak/>
        <w:t>for third-party labels (.68) than for self-certified labels (.41), indicating superior convergent validity.</w:t>
      </w:r>
    </w:p>
    <w:p w14:paraId="264D3D4A"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4.2 Analysis of Results</w:t>
      </w:r>
    </w:p>
    <w:p w14:paraId="7C350BEF"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Cognitive Load:</w:t>
      </w:r>
      <w:r w:rsidRPr="00262551">
        <w:rPr>
          <w:rFonts w:ascii="Times New Roman" w:hAnsi="Times New Roman" w:cs="Times New Roman"/>
        </w:rPr>
        <w:t xml:space="preserve"> Third-party labels reduced processing time by 43% (1,474 </w:t>
      </w:r>
      <w:proofErr w:type="spellStart"/>
      <w:r w:rsidRPr="00262551">
        <w:rPr>
          <w:rFonts w:ascii="Times New Roman" w:hAnsi="Times New Roman" w:cs="Times New Roman"/>
        </w:rPr>
        <w:t>ms</w:t>
      </w:r>
      <w:proofErr w:type="spellEnd"/>
      <w:r w:rsidRPr="00262551">
        <w:rPr>
          <w:rFonts w:ascii="Times New Roman" w:hAnsi="Times New Roman" w:cs="Times New Roman"/>
        </w:rPr>
        <w:t xml:space="preserve"> to 842 </w:t>
      </w:r>
      <w:proofErr w:type="spellStart"/>
      <w:r w:rsidRPr="00262551">
        <w:rPr>
          <w:rFonts w:ascii="Times New Roman" w:hAnsi="Times New Roman" w:cs="Times New Roman"/>
        </w:rPr>
        <w:t>ms</w:t>
      </w:r>
      <w:proofErr w:type="spellEnd"/>
      <w:r w:rsidRPr="00262551">
        <w:rPr>
          <w:rFonts w:ascii="Times New Roman" w:hAnsi="Times New Roman" w:cs="Times New Roman"/>
        </w:rPr>
        <w:t>) and fixation count by 46%. Self-reported mental effort was 74% higher for self-certified labels.</w:t>
      </w:r>
    </w:p>
    <w:p w14:paraId="1A17B7AD"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Trust and Validity:</w:t>
      </w:r>
      <w:r w:rsidRPr="00262551">
        <w:rPr>
          <w:rFonts w:ascii="Times New Roman" w:hAnsi="Times New Roman" w:cs="Times New Roman"/>
        </w:rPr>
        <w:t xml:space="preserve"> The trust advantage for third-party labels was robust across product categories (apparel: d = 1.12; food: d = 0.98; personal care: d = 1.09). The convergent validity gap (.68 vs. .41) indicates that self-certified trust scores capture a different construct than behavioral intention, threatening measurement validity.</w:t>
      </w:r>
    </w:p>
    <w:p w14:paraId="1AEE3866"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Credibility Index Performance:</w:t>
      </w:r>
      <w:r w:rsidRPr="00262551">
        <w:rPr>
          <w:rFonts w:ascii="Times New Roman" w:hAnsi="Times New Roman" w:cs="Times New Roman"/>
        </w:rPr>
        <w:t xml:space="preserve"> The tri-helix index achieved 89.4% classification accuracy (95% CI: 87.8-91.0), precision = .91, recall = .88, F1 = .89 in 5-fold cross-validation. Feature importance analysis identified verification evidence (weight = .42) and linguistic certainty calibration (weight = .38) as the strongest predictors, with performance substantiation (weight = .20) contributing significantly but less strongly.</w:t>
      </w:r>
    </w:p>
    <w:p w14:paraId="745A24DE" w14:textId="77777777" w:rsidR="00262551" w:rsidRDefault="00262551" w:rsidP="00261729">
      <w:pPr>
        <w:rPr>
          <w:rFonts w:ascii="Times New Roman" w:hAnsi="Times New Roman" w:cs="Times New Roman"/>
        </w:rPr>
      </w:pPr>
    </w:p>
    <w:p w14:paraId="1D93A7C1" w14:textId="77777777" w:rsidR="00262551" w:rsidRDefault="00262551" w:rsidP="00261729">
      <w:pPr>
        <w:rPr>
          <w:rFonts w:ascii="Times New Roman" w:hAnsi="Times New Roman" w:cs="Times New Roman"/>
        </w:rPr>
      </w:pPr>
    </w:p>
    <w:p w14:paraId="6999C59E" w14:textId="4145607E"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5. Discussion</w:t>
      </w:r>
    </w:p>
    <w:p w14:paraId="4B3F2AE5"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5.1 Interpretation</w:t>
      </w:r>
    </w:p>
    <w:p w14:paraId="515D6DA1"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The findings establish that verification architecture fundamentally shapes consumer information processing and trust formation. The 43% reduction in processing time for third-party labels suggests that independent verification functions as a cognitive shortcut, allowing consumers to rely on institutional endorsement rather than evaluating complex claim content. This aligns with legitimacy theory's prediction that structural legitimacy reduces evaluative burden by transferring authority to external </w:t>
      </w:r>
      <w:proofErr w:type="gramStart"/>
      <w:r w:rsidRPr="00262551">
        <w:rPr>
          <w:rFonts w:ascii="Times New Roman" w:hAnsi="Times New Roman" w:cs="Times New Roman"/>
        </w:rPr>
        <w:t>validators .</w:t>
      </w:r>
      <w:proofErr w:type="gramEnd"/>
    </w:p>
    <w:p w14:paraId="08439C8C"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The construct validity findings are particularly significant. The substantially lower trust-intention correlation for self-certified labels (.41 vs. .68) indicates that self-certified trust measures do not converge with behavioral outcomes. This suggests that consumers may report trusting self-certified brands in survey contexts but not act on that trust when stakes are real. This pattern is consistent with hypothesis-guessing threats to construct validity identified in prior methodological </w:t>
      </w:r>
      <w:proofErr w:type="gramStart"/>
      <w:r w:rsidRPr="00262551">
        <w:rPr>
          <w:rFonts w:ascii="Times New Roman" w:hAnsi="Times New Roman" w:cs="Times New Roman"/>
        </w:rPr>
        <w:t>research .</w:t>
      </w:r>
      <w:proofErr w:type="gramEnd"/>
    </w:p>
    <w:p w14:paraId="24D95F48"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The credibility index's 89.4% accuracy demonstrates that verification architecture produces detectable linguistic and structural signatures. This extends the triangulated measurement approach of Okeke and Rahim (2026) from corporate-level greenwashing to label-level credibility assessment. The finding that verification evidence and linguistic calibration dominate </w:t>
      </w:r>
      <w:r w:rsidRPr="00262551">
        <w:rPr>
          <w:rFonts w:ascii="Times New Roman" w:hAnsi="Times New Roman" w:cs="Times New Roman"/>
        </w:rPr>
        <w:lastRenderedPageBreak/>
        <w:t xml:space="preserve">prediction aligns with Okeke's (2026) validation showing that misleading claims and selective disclosure are the strongest greenwashing </w:t>
      </w:r>
      <w:proofErr w:type="gramStart"/>
      <w:r w:rsidRPr="00262551">
        <w:rPr>
          <w:rFonts w:ascii="Times New Roman" w:hAnsi="Times New Roman" w:cs="Times New Roman"/>
        </w:rPr>
        <w:t>dimensions .</w:t>
      </w:r>
      <w:proofErr w:type="gramEnd"/>
    </w:p>
    <w:p w14:paraId="42291E61"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5.2 Implications</w:t>
      </w:r>
    </w:p>
    <w:p w14:paraId="3E7F452E"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Academic implications:</w:t>
      </w:r>
      <w:r w:rsidRPr="00262551">
        <w:rPr>
          <w:rFonts w:ascii="Times New Roman" w:hAnsi="Times New Roman" w:cs="Times New Roman"/>
        </w:rPr>
        <w:t xml:space="preserve"> This study extends information processing theory by specifying verification architecture as a boundary condition for label effectiveness. It introduces construct validity assessment as a necessary methodological step in sustainability communication research, demonstrating that trust measures may not be equivalent across verification contexts.</w:t>
      </w:r>
    </w:p>
    <w:p w14:paraId="338DDCAA" w14:textId="77777777" w:rsidR="00261729" w:rsidRPr="00262551" w:rsidRDefault="00261729" w:rsidP="00261729">
      <w:pPr>
        <w:rPr>
          <w:rFonts w:ascii="Times New Roman" w:hAnsi="Times New Roman" w:cs="Times New Roman"/>
        </w:rPr>
      </w:pPr>
      <w:r w:rsidRPr="00262551">
        <w:rPr>
          <w:rFonts w:ascii="Times New Roman" w:hAnsi="Times New Roman" w:cs="Times New Roman"/>
          <w:b/>
          <w:bCs/>
        </w:rPr>
        <w:t>Practical implications:</w:t>
      </w:r>
      <w:r w:rsidRPr="00262551">
        <w:rPr>
          <w:rFonts w:ascii="Times New Roman" w:hAnsi="Times New Roman" w:cs="Times New Roman"/>
        </w:rPr>
        <w:t xml:space="preserve"> Label designers should prioritize </w:t>
      </w:r>
      <w:proofErr w:type="gramStart"/>
      <w:r w:rsidRPr="00262551">
        <w:rPr>
          <w:rFonts w:ascii="Times New Roman" w:hAnsi="Times New Roman" w:cs="Times New Roman"/>
        </w:rPr>
        <w:t>verification</w:t>
      </w:r>
      <w:proofErr w:type="gramEnd"/>
      <w:r w:rsidRPr="00262551">
        <w:rPr>
          <w:rFonts w:ascii="Times New Roman" w:hAnsi="Times New Roman" w:cs="Times New Roman"/>
        </w:rPr>
        <w:t xml:space="preserve"> </w:t>
      </w:r>
      <w:proofErr w:type="gramStart"/>
      <w:r w:rsidRPr="00262551">
        <w:rPr>
          <w:rFonts w:ascii="Times New Roman" w:hAnsi="Times New Roman" w:cs="Times New Roman"/>
        </w:rPr>
        <w:t>evidence</w:t>
      </w:r>
      <w:proofErr w:type="gramEnd"/>
      <w:r w:rsidRPr="00262551">
        <w:rPr>
          <w:rFonts w:ascii="Times New Roman" w:hAnsi="Times New Roman" w:cs="Times New Roman"/>
        </w:rPr>
        <w:t xml:space="preserve"> salience and linguistic certainty calibration. Administrators should monitor trust-intention convergence as a validity check in consumer research. Regulators should consider mandatory differentiation of self-certified claims, given their measurably lower credibility and validity.</w:t>
      </w:r>
    </w:p>
    <w:p w14:paraId="64572F43"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5.3 Limitations</w:t>
      </w:r>
    </w:p>
    <w:p w14:paraId="7FBCFE71" w14:textId="77777777" w:rsidR="00261729" w:rsidRPr="00262551" w:rsidRDefault="00261729" w:rsidP="00261729">
      <w:pPr>
        <w:numPr>
          <w:ilvl w:val="0"/>
          <w:numId w:val="3"/>
        </w:numPr>
        <w:rPr>
          <w:rFonts w:ascii="Times New Roman" w:hAnsi="Times New Roman" w:cs="Times New Roman"/>
        </w:rPr>
      </w:pPr>
      <w:r w:rsidRPr="00262551">
        <w:rPr>
          <w:rFonts w:ascii="Times New Roman" w:hAnsi="Times New Roman" w:cs="Times New Roman"/>
        </w:rPr>
        <w:t>Laboratory eye-tracking may overestimate processing differences relative to naturalistic retail environments.</w:t>
      </w:r>
    </w:p>
    <w:p w14:paraId="107A44D7" w14:textId="77777777" w:rsidR="00261729" w:rsidRPr="00262551" w:rsidRDefault="00261729" w:rsidP="00261729">
      <w:pPr>
        <w:numPr>
          <w:ilvl w:val="0"/>
          <w:numId w:val="3"/>
        </w:numPr>
        <w:rPr>
          <w:rFonts w:ascii="Times New Roman" w:hAnsi="Times New Roman" w:cs="Times New Roman"/>
        </w:rPr>
      </w:pPr>
      <w:r w:rsidRPr="00262551">
        <w:rPr>
          <w:rFonts w:ascii="Times New Roman" w:hAnsi="Times New Roman" w:cs="Times New Roman"/>
        </w:rPr>
        <w:t>The sample overrepresents educated consumers, potentially attenuating cognitive load differences.</w:t>
      </w:r>
    </w:p>
    <w:p w14:paraId="3DAFB576" w14:textId="77777777" w:rsidR="00261729" w:rsidRPr="00262551" w:rsidRDefault="00261729" w:rsidP="00261729">
      <w:pPr>
        <w:numPr>
          <w:ilvl w:val="0"/>
          <w:numId w:val="3"/>
        </w:numPr>
        <w:rPr>
          <w:rFonts w:ascii="Times New Roman" w:hAnsi="Times New Roman" w:cs="Times New Roman"/>
        </w:rPr>
      </w:pPr>
      <w:r w:rsidRPr="00262551">
        <w:rPr>
          <w:rFonts w:ascii="Times New Roman" w:hAnsi="Times New Roman" w:cs="Times New Roman"/>
        </w:rPr>
        <w:t>Product categories, while diverse, do not exhaust the range of labeled goods.</w:t>
      </w:r>
    </w:p>
    <w:p w14:paraId="18D1430A" w14:textId="77777777"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5.4 Future Research Directions</w:t>
      </w:r>
    </w:p>
    <w:p w14:paraId="2F05A1F0" w14:textId="77777777" w:rsidR="00261729" w:rsidRPr="00262551" w:rsidRDefault="00261729" w:rsidP="00261729">
      <w:pPr>
        <w:numPr>
          <w:ilvl w:val="0"/>
          <w:numId w:val="4"/>
        </w:numPr>
        <w:rPr>
          <w:rFonts w:ascii="Times New Roman" w:hAnsi="Times New Roman" w:cs="Times New Roman"/>
        </w:rPr>
      </w:pPr>
      <w:r w:rsidRPr="00262551">
        <w:rPr>
          <w:rFonts w:ascii="Times New Roman" w:hAnsi="Times New Roman" w:cs="Times New Roman"/>
        </w:rPr>
        <w:t>Field experiments in actual retail settings to validate laboratory cognitive load findings.</w:t>
      </w:r>
    </w:p>
    <w:p w14:paraId="06223CB9" w14:textId="77777777" w:rsidR="00261729" w:rsidRPr="00262551" w:rsidRDefault="00261729" w:rsidP="00261729">
      <w:pPr>
        <w:numPr>
          <w:ilvl w:val="0"/>
          <w:numId w:val="4"/>
        </w:numPr>
        <w:rPr>
          <w:rFonts w:ascii="Times New Roman" w:hAnsi="Times New Roman" w:cs="Times New Roman"/>
        </w:rPr>
      </w:pPr>
      <w:r w:rsidRPr="00262551">
        <w:rPr>
          <w:rFonts w:ascii="Times New Roman" w:hAnsi="Times New Roman" w:cs="Times New Roman"/>
        </w:rPr>
        <w:t>Longitudinal assessment of trust calibration following label exposure and product experience.</w:t>
      </w:r>
    </w:p>
    <w:p w14:paraId="6A803216" w14:textId="77777777" w:rsidR="00261729" w:rsidRPr="00262551" w:rsidRDefault="00261729" w:rsidP="00261729">
      <w:pPr>
        <w:numPr>
          <w:ilvl w:val="0"/>
          <w:numId w:val="4"/>
        </w:numPr>
        <w:rPr>
          <w:rFonts w:ascii="Times New Roman" w:hAnsi="Times New Roman" w:cs="Times New Roman"/>
        </w:rPr>
      </w:pPr>
      <w:r w:rsidRPr="00262551">
        <w:rPr>
          <w:rFonts w:ascii="Times New Roman" w:hAnsi="Times New Roman" w:cs="Times New Roman"/>
        </w:rPr>
        <w:t>Cross-cultural replication to assess generalizability of verification effects.</w:t>
      </w:r>
    </w:p>
    <w:p w14:paraId="530E6EA0" w14:textId="77777777" w:rsidR="00261729" w:rsidRPr="00262551" w:rsidRDefault="00261729" w:rsidP="00261729">
      <w:pPr>
        <w:numPr>
          <w:ilvl w:val="0"/>
          <w:numId w:val="4"/>
        </w:numPr>
        <w:rPr>
          <w:rFonts w:ascii="Times New Roman" w:hAnsi="Times New Roman" w:cs="Times New Roman"/>
        </w:rPr>
      </w:pPr>
      <w:r w:rsidRPr="00262551">
        <w:rPr>
          <w:rFonts w:ascii="Times New Roman" w:hAnsi="Times New Roman" w:cs="Times New Roman"/>
        </w:rPr>
        <w:t>Extension of the credibility index to second-party certification architectures.</w:t>
      </w:r>
    </w:p>
    <w:p w14:paraId="7C4EA66D" w14:textId="77777777" w:rsidR="00262551" w:rsidRDefault="00262551" w:rsidP="00261729">
      <w:pPr>
        <w:rPr>
          <w:rFonts w:ascii="Times New Roman" w:hAnsi="Times New Roman" w:cs="Times New Roman"/>
        </w:rPr>
      </w:pPr>
    </w:p>
    <w:p w14:paraId="555ACECD" w14:textId="77777777" w:rsidR="00262551" w:rsidRDefault="00262551" w:rsidP="00261729">
      <w:pPr>
        <w:rPr>
          <w:rFonts w:ascii="Times New Roman" w:hAnsi="Times New Roman" w:cs="Times New Roman"/>
        </w:rPr>
      </w:pPr>
    </w:p>
    <w:p w14:paraId="60F87D2C" w14:textId="7053AE83" w:rsidR="00261729" w:rsidRPr="00262551" w:rsidRDefault="00261729" w:rsidP="00261729">
      <w:pPr>
        <w:rPr>
          <w:rFonts w:ascii="Times New Roman" w:hAnsi="Times New Roman" w:cs="Times New Roman"/>
          <w:b/>
          <w:bCs/>
        </w:rPr>
      </w:pPr>
      <w:r w:rsidRPr="00262551">
        <w:rPr>
          <w:rFonts w:ascii="Times New Roman" w:hAnsi="Times New Roman" w:cs="Times New Roman"/>
          <w:b/>
          <w:bCs/>
        </w:rPr>
        <w:t>6. Conclusion</w:t>
      </w:r>
    </w:p>
    <w:p w14:paraId="37E6F619" w14:textId="77777777" w:rsidR="00261729" w:rsidRPr="00262551" w:rsidRDefault="00261729" w:rsidP="00261729">
      <w:pPr>
        <w:rPr>
          <w:rFonts w:ascii="Times New Roman" w:hAnsi="Times New Roman" w:cs="Times New Roman"/>
        </w:rPr>
      </w:pPr>
      <w:r w:rsidRPr="00262551">
        <w:rPr>
          <w:rFonts w:ascii="Times New Roman" w:hAnsi="Times New Roman" w:cs="Times New Roman"/>
        </w:rPr>
        <w:t xml:space="preserve">This study demonstrates that third-party certified sustainability labels reduce consumer cognitive load by 43% and produce trust scores with substantially stronger construct validity (r = .68 vs. .41) compared to self-certified labels. The validated tri-helix credibility index achieved 89.4% classification accuracy, providing a replicable tool for distinguishing verification architectures. The findings establish that independent verification is not merely a credibility signal but a cognitive infrastructure that enables efficient consumer decision-making. Administrators and </w:t>
      </w:r>
      <w:r w:rsidRPr="00262551">
        <w:rPr>
          <w:rFonts w:ascii="Times New Roman" w:hAnsi="Times New Roman" w:cs="Times New Roman"/>
        </w:rPr>
        <w:lastRenderedPageBreak/>
        <w:t>policymakers should prioritize verification architecture in label design and regulation, recognizing that self-certified claims impose unnecessary processing burdens while producing measurement artifacts that undermine consumer research validity.</w:t>
      </w:r>
    </w:p>
    <w:p w14:paraId="31EF1741" w14:textId="77777777" w:rsidR="00262551" w:rsidRDefault="00262551" w:rsidP="00261729">
      <w:pPr>
        <w:rPr>
          <w:rFonts w:ascii="Times New Roman" w:hAnsi="Times New Roman" w:cs="Times New Roman"/>
        </w:rPr>
      </w:pPr>
    </w:p>
    <w:p w14:paraId="2B18845A" w14:textId="77777777" w:rsidR="00262551" w:rsidRDefault="00262551" w:rsidP="00261729">
      <w:pPr>
        <w:rPr>
          <w:rFonts w:ascii="Times New Roman" w:hAnsi="Times New Roman" w:cs="Times New Roman"/>
        </w:rPr>
      </w:pPr>
    </w:p>
    <w:p w14:paraId="482A3B71" w14:textId="77777777" w:rsidR="00262551" w:rsidRDefault="00262551" w:rsidP="00261729">
      <w:pPr>
        <w:rPr>
          <w:rFonts w:ascii="Times New Roman" w:hAnsi="Times New Roman" w:cs="Times New Roman"/>
        </w:rPr>
      </w:pPr>
    </w:p>
    <w:p w14:paraId="3C56B847" w14:textId="77777777" w:rsidR="00262551" w:rsidRDefault="00262551" w:rsidP="00261729">
      <w:pPr>
        <w:rPr>
          <w:rFonts w:ascii="Times New Roman" w:hAnsi="Times New Roman" w:cs="Times New Roman"/>
        </w:rPr>
      </w:pPr>
    </w:p>
    <w:p w14:paraId="1B0D91D7" w14:textId="77777777" w:rsidR="00262551" w:rsidRDefault="00262551" w:rsidP="00261729">
      <w:pPr>
        <w:rPr>
          <w:rFonts w:ascii="Times New Roman" w:hAnsi="Times New Roman" w:cs="Times New Roman"/>
        </w:rPr>
      </w:pPr>
    </w:p>
    <w:p w14:paraId="171891A6" w14:textId="77777777" w:rsidR="00262551" w:rsidRDefault="00262551" w:rsidP="00261729">
      <w:pPr>
        <w:rPr>
          <w:rFonts w:ascii="Times New Roman" w:hAnsi="Times New Roman" w:cs="Times New Roman"/>
        </w:rPr>
      </w:pPr>
    </w:p>
    <w:p w14:paraId="7F591191" w14:textId="77777777" w:rsidR="00262551" w:rsidRDefault="00262551" w:rsidP="00261729">
      <w:pPr>
        <w:rPr>
          <w:rFonts w:ascii="Times New Roman" w:hAnsi="Times New Roman" w:cs="Times New Roman"/>
        </w:rPr>
      </w:pPr>
    </w:p>
    <w:p w14:paraId="0BE9343B" w14:textId="77777777" w:rsidR="00262551" w:rsidRDefault="00262551" w:rsidP="00261729">
      <w:pPr>
        <w:rPr>
          <w:rFonts w:ascii="Times New Roman" w:hAnsi="Times New Roman" w:cs="Times New Roman"/>
        </w:rPr>
      </w:pPr>
    </w:p>
    <w:p w14:paraId="75BA954A" w14:textId="77777777" w:rsidR="00262551" w:rsidRDefault="00262551" w:rsidP="00261729">
      <w:pPr>
        <w:rPr>
          <w:rFonts w:ascii="Times New Roman" w:hAnsi="Times New Roman" w:cs="Times New Roman"/>
        </w:rPr>
      </w:pPr>
    </w:p>
    <w:p w14:paraId="5D9E39A3" w14:textId="77777777" w:rsidR="00262551" w:rsidRDefault="00262551" w:rsidP="00261729">
      <w:pPr>
        <w:rPr>
          <w:rFonts w:ascii="Times New Roman" w:hAnsi="Times New Roman" w:cs="Times New Roman"/>
        </w:rPr>
      </w:pPr>
    </w:p>
    <w:p w14:paraId="59118FA5" w14:textId="77777777" w:rsidR="00262551" w:rsidRDefault="00262551" w:rsidP="00261729">
      <w:pPr>
        <w:rPr>
          <w:rFonts w:ascii="Times New Roman" w:hAnsi="Times New Roman" w:cs="Times New Roman"/>
        </w:rPr>
      </w:pPr>
    </w:p>
    <w:p w14:paraId="22755307" w14:textId="77777777" w:rsidR="00262551" w:rsidRDefault="00262551" w:rsidP="00261729">
      <w:pPr>
        <w:rPr>
          <w:rFonts w:ascii="Times New Roman" w:hAnsi="Times New Roman" w:cs="Times New Roman"/>
        </w:rPr>
      </w:pPr>
    </w:p>
    <w:p w14:paraId="164CF5D3" w14:textId="77777777" w:rsidR="00262551" w:rsidRDefault="00262551" w:rsidP="00261729">
      <w:pPr>
        <w:rPr>
          <w:rFonts w:ascii="Times New Roman" w:hAnsi="Times New Roman" w:cs="Times New Roman"/>
        </w:rPr>
      </w:pPr>
    </w:p>
    <w:p w14:paraId="2BE45354" w14:textId="77777777" w:rsidR="00262551" w:rsidRDefault="00262551" w:rsidP="00261729">
      <w:pPr>
        <w:rPr>
          <w:rFonts w:ascii="Times New Roman" w:hAnsi="Times New Roman" w:cs="Times New Roman"/>
        </w:rPr>
      </w:pPr>
    </w:p>
    <w:p w14:paraId="29D5A5A9" w14:textId="77777777" w:rsidR="00262551" w:rsidRDefault="00262551" w:rsidP="00261729">
      <w:pPr>
        <w:rPr>
          <w:rFonts w:ascii="Times New Roman" w:hAnsi="Times New Roman" w:cs="Times New Roman"/>
        </w:rPr>
      </w:pPr>
    </w:p>
    <w:p w14:paraId="4FF583B2" w14:textId="77777777" w:rsidR="00262551" w:rsidRDefault="00262551" w:rsidP="00261729">
      <w:pPr>
        <w:rPr>
          <w:rFonts w:ascii="Times New Roman" w:hAnsi="Times New Roman" w:cs="Times New Roman"/>
        </w:rPr>
      </w:pPr>
    </w:p>
    <w:p w14:paraId="1BBB3C78" w14:textId="77777777" w:rsidR="00262551" w:rsidRDefault="00262551" w:rsidP="00261729">
      <w:pPr>
        <w:rPr>
          <w:rFonts w:ascii="Times New Roman" w:hAnsi="Times New Roman" w:cs="Times New Roman"/>
        </w:rPr>
      </w:pPr>
    </w:p>
    <w:p w14:paraId="4CB042D8" w14:textId="77777777" w:rsidR="00262551" w:rsidRDefault="00262551" w:rsidP="00261729">
      <w:pPr>
        <w:rPr>
          <w:rFonts w:ascii="Times New Roman" w:hAnsi="Times New Roman" w:cs="Times New Roman"/>
        </w:rPr>
      </w:pPr>
    </w:p>
    <w:p w14:paraId="44DFDEC9" w14:textId="77777777" w:rsidR="00262551" w:rsidRDefault="00262551" w:rsidP="00261729">
      <w:pPr>
        <w:rPr>
          <w:rFonts w:ascii="Times New Roman" w:hAnsi="Times New Roman" w:cs="Times New Roman"/>
        </w:rPr>
      </w:pPr>
    </w:p>
    <w:p w14:paraId="58FFDBAD" w14:textId="77777777" w:rsidR="00262551" w:rsidRDefault="00262551" w:rsidP="00261729">
      <w:pPr>
        <w:rPr>
          <w:rFonts w:ascii="Times New Roman" w:hAnsi="Times New Roman" w:cs="Times New Roman"/>
        </w:rPr>
      </w:pPr>
    </w:p>
    <w:p w14:paraId="66C2751F" w14:textId="77777777" w:rsidR="00262551" w:rsidRDefault="00262551" w:rsidP="00261729">
      <w:pPr>
        <w:rPr>
          <w:rFonts w:ascii="Times New Roman" w:hAnsi="Times New Roman" w:cs="Times New Roman"/>
        </w:rPr>
      </w:pPr>
    </w:p>
    <w:p w14:paraId="162ED645" w14:textId="77777777" w:rsidR="00262551" w:rsidRDefault="00262551" w:rsidP="00261729">
      <w:pPr>
        <w:rPr>
          <w:rFonts w:ascii="Times New Roman" w:hAnsi="Times New Roman" w:cs="Times New Roman"/>
        </w:rPr>
      </w:pPr>
    </w:p>
    <w:p w14:paraId="0ACB1F9D" w14:textId="77777777" w:rsidR="00262551" w:rsidRDefault="00262551" w:rsidP="00261729">
      <w:pPr>
        <w:rPr>
          <w:rFonts w:ascii="Times New Roman" w:hAnsi="Times New Roman" w:cs="Times New Roman"/>
        </w:rPr>
      </w:pPr>
    </w:p>
    <w:p w14:paraId="6A15874F" w14:textId="77777777" w:rsidR="00262551" w:rsidRDefault="00262551" w:rsidP="00261729">
      <w:pPr>
        <w:rPr>
          <w:rFonts w:ascii="Times New Roman" w:hAnsi="Times New Roman" w:cs="Times New Roman"/>
        </w:rPr>
      </w:pPr>
    </w:p>
    <w:p w14:paraId="714953B1" w14:textId="77777777" w:rsidR="00262551" w:rsidRDefault="00262551" w:rsidP="00261729">
      <w:pPr>
        <w:rPr>
          <w:rFonts w:ascii="Times New Roman" w:hAnsi="Times New Roman" w:cs="Times New Roman"/>
        </w:rPr>
      </w:pPr>
    </w:p>
    <w:p w14:paraId="582FB3BE" w14:textId="00525311" w:rsidR="00261729" w:rsidRDefault="00261729" w:rsidP="00262551">
      <w:pPr>
        <w:jc w:val="center"/>
        <w:rPr>
          <w:rFonts w:ascii="Times New Roman" w:hAnsi="Times New Roman" w:cs="Times New Roman"/>
          <w:b/>
          <w:bCs/>
          <w:sz w:val="44"/>
          <w:szCs w:val="44"/>
        </w:rPr>
      </w:pPr>
      <w:r w:rsidRPr="00262551">
        <w:rPr>
          <w:rFonts w:ascii="Times New Roman" w:hAnsi="Times New Roman" w:cs="Times New Roman"/>
          <w:b/>
          <w:bCs/>
          <w:sz w:val="44"/>
          <w:szCs w:val="44"/>
        </w:rPr>
        <w:lastRenderedPageBreak/>
        <w:t>References</w:t>
      </w:r>
    </w:p>
    <w:p w14:paraId="5741D91E" w14:textId="77777777" w:rsidR="00262551" w:rsidRPr="00262551" w:rsidRDefault="00262551" w:rsidP="00262551">
      <w:pPr>
        <w:jc w:val="center"/>
        <w:rPr>
          <w:rFonts w:ascii="Times New Roman" w:hAnsi="Times New Roman" w:cs="Times New Roman"/>
          <w:b/>
          <w:bCs/>
          <w:sz w:val="44"/>
          <w:szCs w:val="44"/>
        </w:rPr>
      </w:pPr>
    </w:p>
    <w:p w14:paraId="390F6387"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Okeke, A. (2026). Measuring greenwashing: Validating constructs for corporate environmental misrepresentation. </w:t>
      </w:r>
      <w:r w:rsidRPr="00262551">
        <w:rPr>
          <w:rFonts w:ascii="Times New Roman" w:hAnsi="Times New Roman" w:cs="Times New Roman"/>
          <w:i/>
          <w:iCs/>
        </w:rPr>
        <w:t>Innovation and Green Development</w:t>
      </w:r>
      <w:r w:rsidRPr="00262551">
        <w:rPr>
          <w:rFonts w:ascii="Times New Roman" w:hAnsi="Times New Roman" w:cs="Times New Roman"/>
        </w:rPr>
        <w:t xml:space="preserve">, *5*(3), 100363. </w:t>
      </w:r>
      <w:hyperlink r:id="rId5" w:tgtFrame="_blank" w:history="1">
        <w:r w:rsidRPr="00262551">
          <w:rPr>
            <w:rStyle w:val="Hyperlink"/>
            <w:rFonts w:ascii="Times New Roman" w:hAnsi="Times New Roman" w:cs="Times New Roman"/>
          </w:rPr>
          <w:t>https://doi.org/10.1016/j.igd.2026.100363</w:t>
        </w:r>
      </w:hyperlink>
    </w:p>
    <w:p w14:paraId="1E6A1447"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Okeke, A., &amp; Rahim, L. J. (2026). Deconstructing deception: A triangulated greenwashing index for precision sustainability governance. </w:t>
      </w:r>
      <w:r w:rsidRPr="00262551">
        <w:rPr>
          <w:rFonts w:ascii="Times New Roman" w:hAnsi="Times New Roman" w:cs="Times New Roman"/>
          <w:i/>
          <w:iCs/>
        </w:rPr>
        <w:t>Organization &amp; Environment</w:t>
      </w:r>
      <w:r w:rsidRPr="00262551">
        <w:rPr>
          <w:rFonts w:ascii="Times New Roman" w:hAnsi="Times New Roman" w:cs="Times New Roman"/>
        </w:rPr>
        <w:t xml:space="preserve">. Advance online publication. </w:t>
      </w:r>
      <w:hyperlink r:id="rId6" w:tgtFrame="_blank" w:history="1">
        <w:r w:rsidRPr="00262551">
          <w:rPr>
            <w:rStyle w:val="Hyperlink"/>
            <w:rFonts w:ascii="Times New Roman" w:hAnsi="Times New Roman" w:cs="Times New Roman"/>
          </w:rPr>
          <w:t>https://doi.org/10.1177/10860266261477310</w:t>
        </w:r>
      </w:hyperlink>
    </w:p>
    <w:p w14:paraId="6698A049"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Chen, Y.-S., &amp; Chang, C.-H. (2013). Greenwash and green trust: The mediation effects of green consumer confusion and green perceived risk. </w:t>
      </w:r>
      <w:r w:rsidRPr="00262551">
        <w:rPr>
          <w:rFonts w:ascii="Times New Roman" w:hAnsi="Times New Roman" w:cs="Times New Roman"/>
          <w:i/>
          <w:iCs/>
        </w:rPr>
        <w:t>Journal of Business Ethics</w:t>
      </w:r>
      <w:r w:rsidRPr="00262551">
        <w:rPr>
          <w:rFonts w:ascii="Times New Roman" w:hAnsi="Times New Roman" w:cs="Times New Roman"/>
        </w:rPr>
        <w:t>, *114*(3), 489–500.</w:t>
      </w:r>
    </w:p>
    <w:p w14:paraId="084A0F14"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Delmas, M. A., &amp; Burbano, V. C. (2011). The drivers of greenwashing. </w:t>
      </w:r>
      <w:r w:rsidRPr="00262551">
        <w:rPr>
          <w:rFonts w:ascii="Times New Roman" w:hAnsi="Times New Roman" w:cs="Times New Roman"/>
          <w:i/>
          <w:iCs/>
        </w:rPr>
        <w:t>California Management Review</w:t>
      </w:r>
      <w:r w:rsidRPr="00262551">
        <w:rPr>
          <w:rFonts w:ascii="Times New Roman" w:hAnsi="Times New Roman" w:cs="Times New Roman"/>
        </w:rPr>
        <w:t>, *54*(1), 64–87.</w:t>
      </w:r>
    </w:p>
    <w:p w14:paraId="1C311DBA"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Fornell, C., &amp; Larcker, D. F. (1981). Evaluating structural equation models with unobservable variables and measurement error. </w:t>
      </w:r>
      <w:r w:rsidRPr="00262551">
        <w:rPr>
          <w:rFonts w:ascii="Times New Roman" w:hAnsi="Times New Roman" w:cs="Times New Roman"/>
          <w:i/>
          <w:iCs/>
        </w:rPr>
        <w:t>Journal of Marketing Research</w:t>
      </w:r>
      <w:r w:rsidRPr="00262551">
        <w:rPr>
          <w:rFonts w:ascii="Times New Roman" w:hAnsi="Times New Roman" w:cs="Times New Roman"/>
        </w:rPr>
        <w:t>, *18*(1), 39–50.</w:t>
      </w:r>
    </w:p>
    <w:p w14:paraId="234E2989"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Gatti, L., Seele, P., &amp; Rademacher, L. (2019). Grey zone in – greenwash out: A review of greenwashing research and implications for the voluntary-mandatory transition of CSR. </w:t>
      </w:r>
      <w:r w:rsidRPr="00262551">
        <w:rPr>
          <w:rFonts w:ascii="Times New Roman" w:hAnsi="Times New Roman" w:cs="Times New Roman"/>
          <w:i/>
          <w:iCs/>
        </w:rPr>
        <w:t>International Journal of Corporate Social Responsibility</w:t>
      </w:r>
      <w:r w:rsidRPr="00262551">
        <w:rPr>
          <w:rFonts w:ascii="Times New Roman" w:hAnsi="Times New Roman" w:cs="Times New Roman"/>
        </w:rPr>
        <w:t>, *4*(1), 1–15.</w:t>
      </w:r>
    </w:p>
    <w:p w14:paraId="089C32C2"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Henseler, J., Ringle, C. M., &amp; Sarstedt, M. (2015). A new criterion for assessing discriminant validity in variance-based structural equation modeling. </w:t>
      </w:r>
      <w:r w:rsidRPr="00262551">
        <w:rPr>
          <w:rFonts w:ascii="Times New Roman" w:hAnsi="Times New Roman" w:cs="Times New Roman"/>
          <w:i/>
          <w:iCs/>
        </w:rPr>
        <w:t>Journal of the Academy of Marketing Science</w:t>
      </w:r>
      <w:r w:rsidRPr="00262551">
        <w:rPr>
          <w:rFonts w:ascii="Times New Roman" w:hAnsi="Times New Roman" w:cs="Times New Roman"/>
        </w:rPr>
        <w:t>, *43*(1), 115–135.</w:t>
      </w:r>
    </w:p>
    <w:p w14:paraId="6B53E29D"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Kim, E.-H., &amp; Lyon, T. P. (2015). Greenwash vs. </w:t>
      </w:r>
      <w:proofErr w:type="spellStart"/>
      <w:r w:rsidRPr="00262551">
        <w:rPr>
          <w:rFonts w:ascii="Times New Roman" w:hAnsi="Times New Roman" w:cs="Times New Roman"/>
        </w:rPr>
        <w:t>brownwash</w:t>
      </w:r>
      <w:proofErr w:type="spellEnd"/>
      <w:r w:rsidRPr="00262551">
        <w:rPr>
          <w:rFonts w:ascii="Times New Roman" w:hAnsi="Times New Roman" w:cs="Times New Roman"/>
        </w:rPr>
        <w:t xml:space="preserve">: Exaggeration and undue modesty in corporate sustainability disclosure. </w:t>
      </w:r>
      <w:r w:rsidRPr="00262551">
        <w:rPr>
          <w:rFonts w:ascii="Times New Roman" w:hAnsi="Times New Roman" w:cs="Times New Roman"/>
          <w:i/>
          <w:iCs/>
        </w:rPr>
        <w:t>Organization Science</w:t>
      </w:r>
      <w:r w:rsidRPr="00262551">
        <w:rPr>
          <w:rFonts w:ascii="Times New Roman" w:hAnsi="Times New Roman" w:cs="Times New Roman"/>
        </w:rPr>
        <w:t>, *26*(3), 705–723.</w:t>
      </w:r>
    </w:p>
    <w:p w14:paraId="0C298C56"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Lyon, T. P., &amp; Montgomery, A. W. (2015). The means and end of greenwash. </w:t>
      </w:r>
      <w:r w:rsidRPr="00262551">
        <w:rPr>
          <w:rFonts w:ascii="Times New Roman" w:hAnsi="Times New Roman" w:cs="Times New Roman"/>
          <w:i/>
          <w:iCs/>
        </w:rPr>
        <w:t>Organization &amp; Environment</w:t>
      </w:r>
      <w:r w:rsidRPr="00262551">
        <w:rPr>
          <w:rFonts w:ascii="Times New Roman" w:hAnsi="Times New Roman" w:cs="Times New Roman"/>
        </w:rPr>
        <w:t>, *28*(2), 223–249.</w:t>
      </w:r>
    </w:p>
    <w:p w14:paraId="30F976EA"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Lyon, T. P., &amp; Maxwell, J. W. (2011). Greenwash: Corporate environmental disclosure under threat of audit. </w:t>
      </w:r>
      <w:r w:rsidRPr="00262551">
        <w:rPr>
          <w:rFonts w:ascii="Times New Roman" w:hAnsi="Times New Roman" w:cs="Times New Roman"/>
          <w:i/>
          <w:iCs/>
        </w:rPr>
        <w:t>Journal of Economics &amp; Management Strategy</w:t>
      </w:r>
      <w:r w:rsidRPr="00262551">
        <w:rPr>
          <w:rFonts w:ascii="Times New Roman" w:hAnsi="Times New Roman" w:cs="Times New Roman"/>
        </w:rPr>
        <w:t>, *20*(1), 3–41.</w:t>
      </w:r>
    </w:p>
    <w:p w14:paraId="6D53C745"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Marquis, C., Toffel, M. W., &amp; Zhou, Y. (2016). Scrutiny, norms, and selective disclosure: A global study of greenwashing. </w:t>
      </w:r>
      <w:r w:rsidRPr="00262551">
        <w:rPr>
          <w:rFonts w:ascii="Times New Roman" w:hAnsi="Times New Roman" w:cs="Times New Roman"/>
          <w:i/>
          <w:iCs/>
        </w:rPr>
        <w:t>Organization Science</w:t>
      </w:r>
      <w:r w:rsidRPr="00262551">
        <w:rPr>
          <w:rFonts w:ascii="Times New Roman" w:hAnsi="Times New Roman" w:cs="Times New Roman"/>
        </w:rPr>
        <w:t>, *27*(2), 483–504.</w:t>
      </w:r>
    </w:p>
    <w:p w14:paraId="4210A138"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lastRenderedPageBreak/>
        <w:t xml:space="preserve">Nyilasy, G., </w:t>
      </w:r>
      <w:proofErr w:type="spellStart"/>
      <w:r w:rsidRPr="00262551">
        <w:rPr>
          <w:rFonts w:ascii="Times New Roman" w:hAnsi="Times New Roman" w:cs="Times New Roman"/>
        </w:rPr>
        <w:t>Gangadharbatla</w:t>
      </w:r>
      <w:proofErr w:type="spellEnd"/>
      <w:r w:rsidRPr="00262551">
        <w:rPr>
          <w:rFonts w:ascii="Times New Roman" w:hAnsi="Times New Roman" w:cs="Times New Roman"/>
        </w:rPr>
        <w:t xml:space="preserve">, H., &amp; Paladino, A. (2014). Perceived greenwashing: The interactive effects of green advertising and corporate environmental performance on consumer reactions. </w:t>
      </w:r>
      <w:r w:rsidRPr="00262551">
        <w:rPr>
          <w:rFonts w:ascii="Times New Roman" w:hAnsi="Times New Roman" w:cs="Times New Roman"/>
          <w:i/>
          <w:iCs/>
        </w:rPr>
        <w:t>Journal of Business Ethics</w:t>
      </w:r>
      <w:r w:rsidRPr="00262551">
        <w:rPr>
          <w:rFonts w:ascii="Times New Roman" w:hAnsi="Times New Roman" w:cs="Times New Roman"/>
        </w:rPr>
        <w:t>, *125*(4), 693–707.</w:t>
      </w:r>
    </w:p>
    <w:p w14:paraId="1305C4A0" w14:textId="77777777" w:rsidR="00261729" w:rsidRPr="00262551" w:rsidRDefault="00261729" w:rsidP="00261729">
      <w:pPr>
        <w:numPr>
          <w:ilvl w:val="0"/>
          <w:numId w:val="5"/>
        </w:numPr>
        <w:rPr>
          <w:rFonts w:ascii="Times New Roman" w:hAnsi="Times New Roman" w:cs="Times New Roman"/>
        </w:rPr>
      </w:pPr>
      <w:proofErr w:type="spellStart"/>
      <w:r w:rsidRPr="00262551">
        <w:rPr>
          <w:rFonts w:ascii="Times New Roman" w:hAnsi="Times New Roman" w:cs="Times New Roman"/>
        </w:rPr>
        <w:t>Parguel</w:t>
      </w:r>
      <w:proofErr w:type="spellEnd"/>
      <w:r w:rsidRPr="00262551">
        <w:rPr>
          <w:rFonts w:ascii="Times New Roman" w:hAnsi="Times New Roman" w:cs="Times New Roman"/>
        </w:rPr>
        <w:t xml:space="preserve">, B., Benoît-Moreau, F., &amp; </w:t>
      </w:r>
      <w:proofErr w:type="spellStart"/>
      <w:r w:rsidRPr="00262551">
        <w:rPr>
          <w:rFonts w:ascii="Times New Roman" w:hAnsi="Times New Roman" w:cs="Times New Roman"/>
        </w:rPr>
        <w:t>Larceneux</w:t>
      </w:r>
      <w:proofErr w:type="spellEnd"/>
      <w:r w:rsidRPr="00262551">
        <w:rPr>
          <w:rFonts w:ascii="Times New Roman" w:hAnsi="Times New Roman" w:cs="Times New Roman"/>
        </w:rPr>
        <w:t xml:space="preserve">, F. (2011). How sustainability ratings might deter ‘greenwashing’: A closer look at ethical corporate communication. </w:t>
      </w:r>
      <w:r w:rsidRPr="00262551">
        <w:rPr>
          <w:rFonts w:ascii="Times New Roman" w:hAnsi="Times New Roman" w:cs="Times New Roman"/>
          <w:i/>
          <w:iCs/>
        </w:rPr>
        <w:t>Journal of Business Ethics</w:t>
      </w:r>
      <w:r w:rsidRPr="00262551">
        <w:rPr>
          <w:rFonts w:ascii="Times New Roman" w:hAnsi="Times New Roman" w:cs="Times New Roman"/>
        </w:rPr>
        <w:t>, *102*(1), 15–28.</w:t>
      </w:r>
    </w:p>
    <w:p w14:paraId="5F54FB73"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Seele, P., &amp; Gatti, L. (2017). Greenwashing revisited: In search of a typology and accusation-based definition incorporating legitimacy strategies. </w:t>
      </w:r>
      <w:r w:rsidRPr="00262551">
        <w:rPr>
          <w:rFonts w:ascii="Times New Roman" w:hAnsi="Times New Roman" w:cs="Times New Roman"/>
          <w:i/>
          <w:iCs/>
        </w:rPr>
        <w:t>Business Strategy and the Environment</w:t>
      </w:r>
      <w:r w:rsidRPr="00262551">
        <w:rPr>
          <w:rFonts w:ascii="Times New Roman" w:hAnsi="Times New Roman" w:cs="Times New Roman"/>
        </w:rPr>
        <w:t>, *26*(2), 239–252.</w:t>
      </w:r>
    </w:p>
    <w:p w14:paraId="5A3F5600" w14:textId="77777777" w:rsidR="00261729" w:rsidRPr="00262551" w:rsidRDefault="00261729" w:rsidP="00261729">
      <w:pPr>
        <w:numPr>
          <w:ilvl w:val="0"/>
          <w:numId w:val="5"/>
        </w:numPr>
        <w:rPr>
          <w:rFonts w:ascii="Times New Roman" w:hAnsi="Times New Roman" w:cs="Times New Roman"/>
        </w:rPr>
      </w:pPr>
      <w:r w:rsidRPr="00262551">
        <w:rPr>
          <w:rFonts w:ascii="Times New Roman" w:hAnsi="Times New Roman" w:cs="Times New Roman"/>
        </w:rPr>
        <w:t xml:space="preserve">Walker, K., &amp; Wan, F. (2012). The harm of symbolic actions and </w:t>
      </w:r>
      <w:proofErr w:type="gramStart"/>
      <w:r w:rsidRPr="00262551">
        <w:rPr>
          <w:rFonts w:ascii="Times New Roman" w:hAnsi="Times New Roman" w:cs="Times New Roman"/>
        </w:rPr>
        <w:t>green-washing</w:t>
      </w:r>
      <w:proofErr w:type="gramEnd"/>
      <w:r w:rsidRPr="00262551">
        <w:rPr>
          <w:rFonts w:ascii="Times New Roman" w:hAnsi="Times New Roman" w:cs="Times New Roman"/>
        </w:rPr>
        <w:t xml:space="preserve">: Corporate actions and communications on environmental performance and their financial implications. </w:t>
      </w:r>
      <w:r w:rsidRPr="00262551">
        <w:rPr>
          <w:rFonts w:ascii="Times New Roman" w:hAnsi="Times New Roman" w:cs="Times New Roman"/>
          <w:i/>
          <w:iCs/>
        </w:rPr>
        <w:t>Journal of Business Ethics</w:t>
      </w:r>
      <w:r w:rsidRPr="00262551">
        <w:rPr>
          <w:rFonts w:ascii="Times New Roman" w:hAnsi="Times New Roman" w:cs="Times New Roman"/>
        </w:rPr>
        <w:t>, *109*(2), 227–242.</w:t>
      </w:r>
    </w:p>
    <w:p w14:paraId="3846A58A" w14:textId="77777777" w:rsidR="00872221" w:rsidRPr="00262551" w:rsidRDefault="00872221">
      <w:pPr>
        <w:rPr>
          <w:rFonts w:ascii="Times New Roman" w:hAnsi="Times New Roman" w:cs="Times New Roman"/>
        </w:rPr>
      </w:pPr>
    </w:p>
    <w:sectPr w:rsidR="00872221" w:rsidRPr="00262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85A8C"/>
    <w:multiLevelType w:val="multilevel"/>
    <w:tmpl w:val="D5943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3678A"/>
    <w:multiLevelType w:val="multilevel"/>
    <w:tmpl w:val="C59ED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D77FB0"/>
    <w:multiLevelType w:val="multilevel"/>
    <w:tmpl w:val="B9AEC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C96231"/>
    <w:multiLevelType w:val="multilevel"/>
    <w:tmpl w:val="5C5A7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514816"/>
    <w:multiLevelType w:val="multilevel"/>
    <w:tmpl w:val="61EAA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2760907">
    <w:abstractNumId w:val="1"/>
  </w:num>
  <w:num w:numId="2" w16cid:durableId="944965530">
    <w:abstractNumId w:val="3"/>
  </w:num>
  <w:num w:numId="3" w16cid:durableId="613246739">
    <w:abstractNumId w:val="2"/>
  </w:num>
  <w:num w:numId="4" w16cid:durableId="1207833960">
    <w:abstractNumId w:val="0"/>
  </w:num>
  <w:num w:numId="5" w16cid:durableId="245918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729"/>
    <w:rsid w:val="001A23E5"/>
    <w:rsid w:val="00261729"/>
    <w:rsid w:val="00262551"/>
    <w:rsid w:val="002A205E"/>
    <w:rsid w:val="003B5315"/>
    <w:rsid w:val="00572FF1"/>
    <w:rsid w:val="00872221"/>
    <w:rsid w:val="00A0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1E0E"/>
  <w15:chartTrackingRefBased/>
  <w15:docId w15:val="{ABD5BAD5-471B-4AD9-870D-26BA7078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729"/>
    <w:rPr>
      <w:rFonts w:eastAsiaTheme="majorEastAsia" w:cstheme="majorBidi"/>
      <w:color w:val="272727" w:themeColor="text1" w:themeTint="D8"/>
    </w:rPr>
  </w:style>
  <w:style w:type="paragraph" w:styleId="Title">
    <w:name w:val="Title"/>
    <w:basedOn w:val="Normal"/>
    <w:next w:val="Normal"/>
    <w:link w:val="TitleChar"/>
    <w:uiPriority w:val="10"/>
    <w:qFormat/>
    <w:rsid w:val="00261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729"/>
    <w:pPr>
      <w:spacing w:before="160"/>
      <w:jc w:val="center"/>
    </w:pPr>
    <w:rPr>
      <w:i/>
      <w:iCs/>
      <w:color w:val="404040" w:themeColor="text1" w:themeTint="BF"/>
    </w:rPr>
  </w:style>
  <w:style w:type="character" w:customStyle="1" w:styleId="QuoteChar">
    <w:name w:val="Quote Char"/>
    <w:basedOn w:val="DefaultParagraphFont"/>
    <w:link w:val="Quote"/>
    <w:uiPriority w:val="29"/>
    <w:rsid w:val="00261729"/>
    <w:rPr>
      <w:i/>
      <w:iCs/>
      <w:color w:val="404040" w:themeColor="text1" w:themeTint="BF"/>
    </w:rPr>
  </w:style>
  <w:style w:type="paragraph" w:styleId="ListParagraph">
    <w:name w:val="List Paragraph"/>
    <w:basedOn w:val="Normal"/>
    <w:uiPriority w:val="34"/>
    <w:qFormat/>
    <w:rsid w:val="00261729"/>
    <w:pPr>
      <w:ind w:left="720"/>
      <w:contextualSpacing/>
    </w:pPr>
  </w:style>
  <w:style w:type="character" w:styleId="IntenseEmphasis">
    <w:name w:val="Intense Emphasis"/>
    <w:basedOn w:val="DefaultParagraphFont"/>
    <w:uiPriority w:val="21"/>
    <w:qFormat/>
    <w:rsid w:val="00261729"/>
    <w:rPr>
      <w:i/>
      <w:iCs/>
      <w:color w:val="0F4761" w:themeColor="accent1" w:themeShade="BF"/>
    </w:rPr>
  </w:style>
  <w:style w:type="paragraph" w:styleId="IntenseQuote">
    <w:name w:val="Intense Quote"/>
    <w:basedOn w:val="Normal"/>
    <w:next w:val="Normal"/>
    <w:link w:val="IntenseQuoteChar"/>
    <w:uiPriority w:val="30"/>
    <w:qFormat/>
    <w:rsid w:val="00261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729"/>
    <w:rPr>
      <w:i/>
      <w:iCs/>
      <w:color w:val="0F4761" w:themeColor="accent1" w:themeShade="BF"/>
    </w:rPr>
  </w:style>
  <w:style w:type="character" w:styleId="IntenseReference">
    <w:name w:val="Intense Reference"/>
    <w:basedOn w:val="DefaultParagraphFont"/>
    <w:uiPriority w:val="32"/>
    <w:qFormat/>
    <w:rsid w:val="00261729"/>
    <w:rPr>
      <w:b/>
      <w:bCs/>
      <w:smallCaps/>
      <w:color w:val="0F4761" w:themeColor="accent1" w:themeShade="BF"/>
      <w:spacing w:val="5"/>
    </w:rPr>
  </w:style>
  <w:style w:type="character" w:styleId="Hyperlink">
    <w:name w:val="Hyperlink"/>
    <w:basedOn w:val="DefaultParagraphFont"/>
    <w:uiPriority w:val="99"/>
    <w:unhideWhenUsed/>
    <w:rsid w:val="00261729"/>
    <w:rPr>
      <w:color w:val="467886" w:themeColor="hyperlink"/>
      <w:u w:val="single"/>
    </w:rPr>
  </w:style>
  <w:style w:type="character" w:styleId="UnresolvedMention">
    <w:name w:val="Unresolved Mention"/>
    <w:basedOn w:val="DefaultParagraphFont"/>
    <w:uiPriority w:val="99"/>
    <w:semiHidden/>
    <w:unhideWhenUsed/>
    <w:rsid w:val="00261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10860266261477310" TargetMode="External"/><Relationship Id="rId5" Type="http://schemas.openxmlformats.org/officeDocument/2006/relationships/hyperlink" Target="https://doi.org/10.1016/j.igd.2026.10036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4177</Words>
  <Characters>23811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Apu Ahsun</dc:creator>
  <cp:keywords/>
  <dc:description/>
  <cp:lastModifiedBy>Apu Ahsun</cp:lastModifiedBy>
  <cp:revision>1</cp:revision>
  <cp:lastPrinted>2026-10-13T13:59:00Z</cp:lastPrinted>
  <dcterms:created xsi:type="dcterms:W3CDTF">2026-10-13T13:32:00Z</dcterms:created>
  <dcterms:modified xsi:type="dcterms:W3CDTF">2026-10-13T13:59:00Z</dcterms:modified>
</cp:coreProperties>
</file>